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60FB8" w14:textId="442E0ACC" w:rsidR="006601C7" w:rsidRDefault="00445B80"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1</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5101187B"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0F4597D7"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3165E9">
        <w:rPr>
          <w:rFonts w:ascii="Times New Roman" w:hAnsi="Times New Roman" w:cs="Times New Roman"/>
          <w:b/>
          <w:bCs/>
          <w:sz w:val="24"/>
          <w:szCs w:val="24"/>
          <w:lang w:eastAsia="hu-HU"/>
        </w:rPr>
        <w:t>26</w:t>
      </w:r>
      <w:r w:rsidR="007B7FD3">
        <w:rPr>
          <w:rFonts w:ascii="Times New Roman" w:hAnsi="Times New Roman" w:cs="Times New Roman"/>
          <w:b/>
          <w:bCs/>
          <w:sz w:val="24"/>
          <w:szCs w:val="24"/>
          <w:lang w:eastAsia="hu-HU"/>
        </w:rPr>
        <w:t xml:space="preserve">. február 23-án tartandó rendkívüli nyílt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7D9477E8" w14:textId="0B9356DA" w:rsidR="00773354" w:rsidRDefault="006601C7" w:rsidP="0006776A">
      <w:pPr>
        <w:pStyle w:val="Standard"/>
        <w:numPr>
          <w:ilvl w:val="0"/>
          <w:numId w:val="8"/>
        </w:numPr>
        <w:spacing w:line="480" w:lineRule="auto"/>
        <w:ind w:left="431" w:hanging="431"/>
        <w:jc w:val="both"/>
        <w:rPr>
          <w:b/>
          <w:sz w:val="24"/>
        </w:rPr>
      </w:pPr>
      <w:r w:rsidRPr="00773354">
        <w:rPr>
          <w:b/>
          <w:sz w:val="24"/>
          <w:lang w:eastAsia="hu-HU"/>
        </w:rPr>
        <w:t>Tárgy</w:t>
      </w:r>
      <w:r w:rsidRPr="00773354">
        <w:rPr>
          <w:sz w:val="24"/>
          <w:lang w:eastAsia="hu-HU"/>
        </w:rPr>
        <w:t>:</w:t>
      </w:r>
      <w:r w:rsidR="003C73B3" w:rsidRPr="00773354">
        <w:rPr>
          <w:sz w:val="24"/>
          <w:lang w:eastAsia="hu-HU"/>
        </w:rPr>
        <w:t xml:space="preserve"> </w:t>
      </w:r>
      <w:r w:rsidR="0033037F" w:rsidRPr="0033037F">
        <w:rPr>
          <w:b/>
          <w:sz w:val="24"/>
        </w:rPr>
        <w:t>A Magyarországi Romák Országos Önkormányzata, a Magyarországi Romák Országos Önkormányzatának Hivatala, valamint az Önkormányzat fenntartásában működő Intézmények, és köznevelési intézmények 2026. évi költségvetésének I. számú módosítására</w:t>
      </w:r>
    </w:p>
    <w:p w14:paraId="2E779EC5" w14:textId="77777777" w:rsidR="0033037F" w:rsidRPr="0033037F" w:rsidRDefault="0033037F" w:rsidP="0006776A">
      <w:pPr>
        <w:pStyle w:val="Standard"/>
        <w:numPr>
          <w:ilvl w:val="0"/>
          <w:numId w:val="8"/>
        </w:numPr>
        <w:spacing w:line="480" w:lineRule="auto"/>
        <w:ind w:left="431" w:hanging="431"/>
        <w:jc w:val="both"/>
        <w:rPr>
          <w:b/>
          <w:sz w:val="24"/>
        </w:rPr>
      </w:pPr>
    </w:p>
    <w:p w14:paraId="3245EFB2" w14:textId="66C4F731"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r>
        <w:rPr>
          <w:rFonts w:ascii="Times New Roman" w:hAnsi="Times New Roman" w:cs="Times New Roman"/>
          <w:sz w:val="24"/>
          <w:szCs w:val="24"/>
          <w:lang w:eastAsia="hu-HU"/>
        </w:rPr>
        <w:t>: ……………………...</w:t>
      </w:r>
      <w:r w:rsidRPr="005102E6">
        <w:rPr>
          <w:rFonts w:ascii="Times New Roman" w:hAnsi="Times New Roman" w:cs="Times New Roman"/>
          <w:sz w:val="24"/>
          <w:szCs w:val="24"/>
          <w:lang w:eastAsia="hu-HU"/>
        </w:rPr>
        <w:t>…/202</w:t>
      </w:r>
      <w:r w:rsidR="003165E9">
        <w:rPr>
          <w:rFonts w:ascii="Times New Roman" w:hAnsi="Times New Roman" w:cs="Times New Roman"/>
          <w:sz w:val="24"/>
          <w:szCs w:val="24"/>
          <w:lang w:eastAsia="hu-HU"/>
        </w:rPr>
        <w:t>6</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391D296A"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r>
        <w:rPr>
          <w:rFonts w:ascii="Times New Roman" w:hAnsi="Times New Roman" w:cs="Times New Roman"/>
          <w:sz w:val="24"/>
          <w:szCs w:val="24"/>
          <w:lang w:eastAsia="hu-HU"/>
        </w:rPr>
        <w:t>:</w:t>
      </w:r>
      <w:r w:rsidR="000B5CCD">
        <w:rPr>
          <w:rFonts w:ascii="Times New Roman" w:hAnsi="Times New Roman" w:cs="Times New Roman"/>
          <w:sz w:val="24"/>
          <w:szCs w:val="24"/>
          <w:lang w:eastAsia="hu-HU"/>
        </w:rPr>
        <w:t xml:space="preserve"> -</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09C1EF84" w:rsidR="006601C7" w:rsidRPr="00575033" w:rsidRDefault="0033037F"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Véleményező bizottság: Pénzügyi Bizottság</w:t>
      </w:r>
      <w:r w:rsidR="006601C7" w:rsidRPr="00575033">
        <w:rPr>
          <w:rFonts w:ascii="Times New Roman" w:hAnsi="Times New Roman" w:cs="Times New Roman"/>
          <w:b/>
          <w:bCs/>
          <w:sz w:val="24"/>
          <w:szCs w:val="24"/>
          <w:lang w:eastAsia="hu-HU"/>
        </w:rPr>
        <w:tab/>
        <w:t>Bizottsági elnök:</w:t>
      </w:r>
      <w:r w:rsidR="00F16500">
        <w:rPr>
          <w:rFonts w:ascii="Times New Roman" w:hAnsi="Times New Roman" w:cs="Times New Roman"/>
          <w:b/>
          <w:bCs/>
          <w:sz w:val="24"/>
          <w:szCs w:val="24"/>
          <w:lang w:eastAsia="hu-HU"/>
        </w:rPr>
        <w:t xml:space="preserve"> </w:t>
      </w:r>
      <w:r>
        <w:rPr>
          <w:rFonts w:ascii="Times New Roman" w:hAnsi="Times New Roman" w:cs="Times New Roman"/>
          <w:b/>
          <w:bCs/>
          <w:sz w:val="24"/>
          <w:szCs w:val="24"/>
          <w:lang w:eastAsia="hu-HU"/>
        </w:rPr>
        <w:t>Bordás Géza</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657E0F59" w14:textId="3C2A174E" w:rsidR="003165E9" w:rsidRDefault="003165E9" w:rsidP="000C73D0">
      <w:pPr>
        <w:rPr>
          <w:rFonts w:ascii="Times New Roman" w:hAnsi="Times New Roman" w:cs="Times New Roman"/>
          <w:b/>
          <w:color w:val="000000"/>
          <w:sz w:val="24"/>
          <w:szCs w:val="24"/>
        </w:rPr>
      </w:pPr>
    </w:p>
    <w:p w14:paraId="65B1C700" w14:textId="566E6DFB" w:rsidR="007A649D" w:rsidRDefault="006601C7" w:rsidP="000C73D0">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795C69B7" w14:textId="77777777" w:rsidR="0033037F" w:rsidRDefault="0033037F" w:rsidP="0033037F">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Az államháztartásról szóló 2011.évi CXCV. törvény (Áht.) 34 § (5) bekezdése negyedévente ír elő módosítási kötelezettséget:</w:t>
      </w:r>
    </w:p>
    <w:p w14:paraId="6950937B" w14:textId="77777777" w:rsidR="0033037F" w:rsidRDefault="0033037F" w:rsidP="0033037F">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„Áht. 34§ (5) A képviselő-testület a (2) és (3) bekezdés szerinti előirányzat-módosítás, előirányzat átcsoportosítás átvezetéseként - az első negyedév kivételével – negyedévenként, a döntés szerinti időpontokban, de legkésőbb az éves elemi beszámoló elkészítésének határidőjéig, december 31-ei hatállyal módosítja költségvetési rendeletét.</w:t>
      </w:r>
    </w:p>
    <w:p w14:paraId="5336B537" w14:textId="77777777" w:rsidR="0033037F" w:rsidRDefault="0033037F" w:rsidP="0033037F">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 xml:space="preserve">A Közgyűlés mechanizmusától függően ezek az időpontok nem minden esetben tarthatók, mivel határozatképtelenség esetén a rendelet nem módosítható. </w:t>
      </w:r>
    </w:p>
    <w:p w14:paraId="74D2EF85" w14:textId="77777777" w:rsidR="0033037F" w:rsidRDefault="0033037F" w:rsidP="0033037F">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Az önkormányzat részére folyósított, és a fenntartásában működő intézményeknek intézményfinanszírozásként továbbadott támogatások mind az önkormányzat, mind az intézmények költségvetési előirányzatait módosítják.</w:t>
      </w:r>
    </w:p>
    <w:p w14:paraId="5B3BBAC6" w14:textId="77777777" w:rsidR="0033037F" w:rsidRDefault="0033037F" w:rsidP="0033037F">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p>
    <w:p w14:paraId="1D7928B4" w14:textId="77777777" w:rsidR="0033037F" w:rsidRDefault="0033037F" w:rsidP="0033037F">
      <w:pPr>
        <w:pStyle w:val="Listaszerbekezds"/>
        <w:autoSpaceDE w:val="0"/>
        <w:autoSpaceDN w:val="0"/>
        <w:adjustRightInd w:val="0"/>
        <w:spacing w:line="240" w:lineRule="auto"/>
        <w:ind w:left="0"/>
        <w:jc w:val="both"/>
        <w:rPr>
          <w:rFonts w:eastAsia="Calibri" w:cstheme="minorHAnsi"/>
          <w:i/>
          <w:sz w:val="24"/>
          <w:szCs w:val="24"/>
        </w:rPr>
      </w:pPr>
      <w:r>
        <w:rPr>
          <w:rFonts w:cstheme="minorHAnsi"/>
          <w:i/>
          <w:sz w:val="24"/>
          <w:szCs w:val="24"/>
        </w:rPr>
        <w:t>A Magyarországi Romák Országos Önkormányzatának Közgyűlése a</w:t>
      </w:r>
      <w:r>
        <w:rPr>
          <w:rFonts w:eastAsia="Calibri" w:cstheme="minorHAnsi"/>
          <w:i/>
          <w:color w:val="000000"/>
          <w:sz w:val="24"/>
          <w:szCs w:val="24"/>
        </w:rPr>
        <w:t xml:space="preserve"> </w:t>
      </w:r>
      <w:r>
        <w:rPr>
          <w:rFonts w:cstheme="minorHAnsi"/>
          <w:bCs/>
          <w:i/>
          <w:color w:val="000000"/>
          <w:sz w:val="24"/>
          <w:szCs w:val="24"/>
        </w:rPr>
        <w:t>nemzetiségek jogairól szóló 2011. évi CLXXIX. törvény 78. § (3) bekezdése, – a 117. § (1) bekezdése szerinti utaló szabály figyelembevételével – a 114. § (1) bekezdés d) pontja, valamint a Szervezeti és Működési Szabályzat 13. § b) pontja alapján a 3/2026.(I.30.) számú közgyűlési határozattal fogadta el az Magyarországi Romák Országos Önkormányzatának 2026. évi költségvetését.</w:t>
      </w:r>
    </w:p>
    <w:p w14:paraId="4C1B5503" w14:textId="77777777" w:rsidR="0033037F" w:rsidRDefault="0033037F" w:rsidP="0033037F">
      <w:pPr>
        <w:spacing w:line="240" w:lineRule="auto"/>
        <w:jc w:val="center"/>
        <w:rPr>
          <w:rFonts w:asciiTheme="majorHAnsi" w:hAnsiTheme="majorHAnsi" w:cstheme="majorHAnsi"/>
        </w:rPr>
      </w:pPr>
    </w:p>
    <w:p w14:paraId="4F9922D7" w14:textId="77777777" w:rsidR="0033037F" w:rsidRDefault="0033037F" w:rsidP="0033037F">
      <w:pPr>
        <w:pStyle w:val="Default"/>
        <w:ind w:left="-57" w:right="-57"/>
        <w:jc w:val="both"/>
        <w:rPr>
          <w:rFonts w:asciiTheme="majorHAnsi" w:hAnsiTheme="majorHAnsi" w:cstheme="majorHAnsi"/>
        </w:rPr>
      </w:pPr>
      <w:r>
        <w:rPr>
          <w:rFonts w:asciiTheme="majorHAnsi" w:hAnsiTheme="majorHAnsi" w:cstheme="majorHAnsi"/>
        </w:rPr>
        <w:t>A költségvetés I. számú módosítását az intézmények 2026.évi költségvetési főösszegének a kiemelt előirányzatok /személyi juttatások, munkaadót terhelő járulékok, dologi kiadások/ tekintetétben meghatározott, a közgyűlés és a pénzügyi bizottság által elvárt arányok egységes intézményeként történő megtervezése indokolja.</w:t>
      </w:r>
    </w:p>
    <w:p w14:paraId="40DA6846" w14:textId="77777777" w:rsidR="0033037F" w:rsidRDefault="0033037F" w:rsidP="0033037F">
      <w:pPr>
        <w:pStyle w:val="Default"/>
        <w:ind w:left="-57" w:right="-57"/>
        <w:jc w:val="both"/>
        <w:rPr>
          <w:rFonts w:asciiTheme="majorHAnsi" w:hAnsiTheme="majorHAnsi" w:cstheme="majorHAnsi"/>
        </w:rPr>
      </w:pPr>
    </w:p>
    <w:p w14:paraId="15DF1AED" w14:textId="77777777" w:rsidR="0033037F" w:rsidRDefault="0033037F" w:rsidP="0033037F">
      <w:pPr>
        <w:pStyle w:val="Default"/>
        <w:ind w:left="-57" w:right="-57"/>
        <w:jc w:val="both"/>
        <w:rPr>
          <w:rFonts w:asciiTheme="majorHAnsi" w:hAnsiTheme="majorHAnsi" w:cstheme="majorHAnsi"/>
        </w:rPr>
      </w:pPr>
      <w:r>
        <w:rPr>
          <w:rFonts w:asciiTheme="majorHAnsi" w:hAnsiTheme="majorHAnsi" w:cstheme="majorHAnsi"/>
        </w:rPr>
        <w:t>Ennek értelmében a költségvetési főösszeg 50 %-át nem haladhatja meg a tervezett személyi juttatások eredeti előirányzata. A munkaadót terhelő járulékok a jogszabályban meghatározott 13%-kal a dologi kiadások pedig a tervezett szakmai programok várható kiadásaival kerültek tervezésre, a rendelkezésre álló intézményenként egységes 49.050.000, -Ft működési célú bevételből.</w:t>
      </w:r>
    </w:p>
    <w:p w14:paraId="2B18B33E" w14:textId="77777777" w:rsidR="0033037F" w:rsidRDefault="0033037F" w:rsidP="0033037F">
      <w:pPr>
        <w:pStyle w:val="Default"/>
        <w:ind w:left="-57" w:right="-57"/>
        <w:jc w:val="both"/>
        <w:rPr>
          <w:rFonts w:asciiTheme="majorHAnsi" w:hAnsiTheme="majorHAnsi" w:cstheme="majorHAnsi"/>
        </w:rPr>
      </w:pPr>
    </w:p>
    <w:p w14:paraId="6DA10D64" w14:textId="77777777" w:rsidR="0033037F" w:rsidRDefault="0033037F" w:rsidP="0033037F">
      <w:pPr>
        <w:pStyle w:val="Default"/>
        <w:ind w:left="-57" w:right="-57"/>
        <w:jc w:val="both"/>
        <w:rPr>
          <w:rFonts w:asciiTheme="majorHAnsi" w:hAnsiTheme="majorHAnsi" w:cstheme="majorHAnsi"/>
        </w:rPr>
      </w:pPr>
      <w:r>
        <w:rPr>
          <w:rFonts w:asciiTheme="majorHAnsi" w:hAnsiTheme="majorHAnsi" w:cstheme="majorHAnsi"/>
        </w:rPr>
        <w:t>Ennek megfelelően a költségvetés módosítását követően az alábbiak szerint alakulnak intézményenként a tervezett előirányzatok:</w:t>
      </w:r>
    </w:p>
    <w:p w14:paraId="568B9430" w14:textId="77777777" w:rsidR="0033037F" w:rsidRDefault="0033037F" w:rsidP="0033037F">
      <w:pPr>
        <w:pStyle w:val="Default"/>
        <w:ind w:left="-57" w:right="-57"/>
        <w:jc w:val="both"/>
        <w:rPr>
          <w:rFonts w:asciiTheme="majorHAnsi" w:hAnsiTheme="majorHAnsi" w:cstheme="majorHAnsi"/>
        </w:rPr>
      </w:pPr>
    </w:p>
    <w:tbl>
      <w:tblPr>
        <w:tblStyle w:val="Rcsostblzat"/>
        <w:tblW w:w="9408" w:type="dxa"/>
        <w:tblInd w:w="-57" w:type="dxa"/>
        <w:tblLook w:val="04A0" w:firstRow="1" w:lastRow="0" w:firstColumn="1" w:lastColumn="0" w:noHBand="0" w:noVBand="1"/>
      </w:tblPr>
      <w:tblGrid>
        <w:gridCol w:w="1442"/>
        <w:gridCol w:w="1298"/>
        <w:gridCol w:w="570"/>
        <w:gridCol w:w="1390"/>
        <w:gridCol w:w="527"/>
        <w:gridCol w:w="1214"/>
        <w:gridCol w:w="652"/>
        <w:gridCol w:w="1606"/>
        <w:gridCol w:w="709"/>
      </w:tblGrid>
      <w:tr w:rsidR="0033037F" w14:paraId="0BBD22BB" w14:textId="77777777" w:rsidTr="0033037F">
        <w:tc>
          <w:tcPr>
            <w:tcW w:w="1442" w:type="dxa"/>
            <w:tcBorders>
              <w:top w:val="single" w:sz="4" w:space="0" w:color="auto"/>
              <w:left w:val="single" w:sz="4" w:space="0" w:color="auto"/>
              <w:bottom w:val="single" w:sz="4" w:space="0" w:color="auto"/>
              <w:right w:val="single" w:sz="4" w:space="0" w:color="auto"/>
            </w:tcBorders>
            <w:hideMark/>
          </w:tcPr>
          <w:p w14:paraId="43C0CDC7"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Intézmény</w:t>
            </w:r>
          </w:p>
        </w:tc>
        <w:tc>
          <w:tcPr>
            <w:tcW w:w="1298" w:type="dxa"/>
            <w:tcBorders>
              <w:top w:val="single" w:sz="4" w:space="0" w:color="auto"/>
              <w:left w:val="single" w:sz="4" w:space="0" w:color="auto"/>
              <w:bottom w:val="single" w:sz="4" w:space="0" w:color="auto"/>
              <w:right w:val="single" w:sz="4" w:space="0" w:color="auto"/>
            </w:tcBorders>
            <w:hideMark/>
          </w:tcPr>
          <w:p w14:paraId="56A32B0D"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Személyi juttatások</w:t>
            </w:r>
          </w:p>
        </w:tc>
        <w:tc>
          <w:tcPr>
            <w:tcW w:w="570" w:type="dxa"/>
            <w:tcBorders>
              <w:top w:val="single" w:sz="4" w:space="0" w:color="auto"/>
              <w:left w:val="single" w:sz="4" w:space="0" w:color="auto"/>
              <w:bottom w:val="single" w:sz="4" w:space="0" w:color="auto"/>
              <w:right w:val="single" w:sz="4" w:space="0" w:color="auto"/>
            </w:tcBorders>
            <w:hideMark/>
          </w:tcPr>
          <w:p w14:paraId="4CB770CE"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390" w:type="dxa"/>
            <w:tcBorders>
              <w:top w:val="single" w:sz="4" w:space="0" w:color="auto"/>
              <w:left w:val="single" w:sz="4" w:space="0" w:color="auto"/>
              <w:bottom w:val="single" w:sz="4" w:space="0" w:color="auto"/>
              <w:right w:val="single" w:sz="4" w:space="0" w:color="auto"/>
            </w:tcBorders>
            <w:hideMark/>
          </w:tcPr>
          <w:p w14:paraId="346F7BEF"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Munkaadót terhelő járulékok</w:t>
            </w:r>
          </w:p>
        </w:tc>
        <w:tc>
          <w:tcPr>
            <w:tcW w:w="527" w:type="dxa"/>
            <w:tcBorders>
              <w:top w:val="single" w:sz="4" w:space="0" w:color="auto"/>
              <w:left w:val="single" w:sz="4" w:space="0" w:color="auto"/>
              <w:bottom w:val="single" w:sz="4" w:space="0" w:color="auto"/>
              <w:right w:val="single" w:sz="4" w:space="0" w:color="auto"/>
            </w:tcBorders>
            <w:hideMark/>
          </w:tcPr>
          <w:p w14:paraId="33F24549"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214" w:type="dxa"/>
            <w:tcBorders>
              <w:top w:val="single" w:sz="4" w:space="0" w:color="auto"/>
              <w:left w:val="single" w:sz="4" w:space="0" w:color="auto"/>
              <w:bottom w:val="single" w:sz="4" w:space="0" w:color="auto"/>
              <w:right w:val="single" w:sz="4" w:space="0" w:color="auto"/>
            </w:tcBorders>
            <w:hideMark/>
          </w:tcPr>
          <w:p w14:paraId="7058C39B"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Dologi kiadások</w:t>
            </w:r>
          </w:p>
        </w:tc>
        <w:tc>
          <w:tcPr>
            <w:tcW w:w="652" w:type="dxa"/>
            <w:tcBorders>
              <w:top w:val="single" w:sz="4" w:space="0" w:color="auto"/>
              <w:left w:val="single" w:sz="4" w:space="0" w:color="auto"/>
              <w:bottom w:val="single" w:sz="4" w:space="0" w:color="auto"/>
              <w:right w:val="single" w:sz="4" w:space="0" w:color="auto"/>
            </w:tcBorders>
            <w:hideMark/>
          </w:tcPr>
          <w:p w14:paraId="1854F318"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606" w:type="dxa"/>
            <w:tcBorders>
              <w:top w:val="single" w:sz="4" w:space="0" w:color="auto"/>
              <w:left w:val="single" w:sz="4" w:space="0" w:color="auto"/>
              <w:bottom w:val="single" w:sz="4" w:space="0" w:color="auto"/>
              <w:right w:val="single" w:sz="4" w:space="0" w:color="auto"/>
            </w:tcBorders>
            <w:hideMark/>
          </w:tcPr>
          <w:p w14:paraId="0DFE94D9"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ÖSSZESEN</w:t>
            </w:r>
          </w:p>
        </w:tc>
        <w:tc>
          <w:tcPr>
            <w:tcW w:w="709" w:type="dxa"/>
            <w:tcBorders>
              <w:top w:val="single" w:sz="4" w:space="0" w:color="auto"/>
              <w:left w:val="single" w:sz="4" w:space="0" w:color="auto"/>
              <w:bottom w:val="single" w:sz="4" w:space="0" w:color="auto"/>
              <w:right w:val="single" w:sz="4" w:space="0" w:color="auto"/>
            </w:tcBorders>
            <w:hideMark/>
          </w:tcPr>
          <w:p w14:paraId="7AA0F3FD"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r>
      <w:tr w:rsidR="0033037F" w14:paraId="19C3DA18" w14:textId="77777777" w:rsidTr="0033037F">
        <w:tc>
          <w:tcPr>
            <w:tcW w:w="1442" w:type="dxa"/>
            <w:tcBorders>
              <w:top w:val="single" w:sz="4" w:space="0" w:color="auto"/>
              <w:left w:val="single" w:sz="4" w:space="0" w:color="auto"/>
              <w:bottom w:val="single" w:sz="4" w:space="0" w:color="auto"/>
              <w:right w:val="single" w:sz="4" w:space="0" w:color="auto"/>
            </w:tcBorders>
            <w:hideMark/>
          </w:tcPr>
          <w:p w14:paraId="71EA101C"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Foglalkoztatási Központ</w:t>
            </w:r>
          </w:p>
        </w:tc>
        <w:tc>
          <w:tcPr>
            <w:tcW w:w="1298" w:type="dxa"/>
            <w:tcBorders>
              <w:top w:val="single" w:sz="4" w:space="0" w:color="auto"/>
              <w:left w:val="single" w:sz="4" w:space="0" w:color="auto"/>
              <w:bottom w:val="single" w:sz="4" w:space="0" w:color="auto"/>
              <w:right w:val="single" w:sz="4" w:space="0" w:color="auto"/>
            </w:tcBorders>
            <w:hideMark/>
          </w:tcPr>
          <w:p w14:paraId="3B78FA82"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24.397.912</w:t>
            </w:r>
          </w:p>
        </w:tc>
        <w:tc>
          <w:tcPr>
            <w:tcW w:w="570" w:type="dxa"/>
            <w:tcBorders>
              <w:top w:val="single" w:sz="4" w:space="0" w:color="auto"/>
              <w:left w:val="single" w:sz="4" w:space="0" w:color="auto"/>
              <w:bottom w:val="single" w:sz="4" w:space="0" w:color="auto"/>
              <w:right w:val="single" w:sz="4" w:space="0" w:color="auto"/>
            </w:tcBorders>
            <w:hideMark/>
          </w:tcPr>
          <w:p w14:paraId="2B2F1C47"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49,7</w:t>
            </w:r>
          </w:p>
        </w:tc>
        <w:tc>
          <w:tcPr>
            <w:tcW w:w="1390" w:type="dxa"/>
            <w:tcBorders>
              <w:top w:val="single" w:sz="4" w:space="0" w:color="auto"/>
              <w:left w:val="single" w:sz="4" w:space="0" w:color="auto"/>
              <w:bottom w:val="single" w:sz="4" w:space="0" w:color="auto"/>
              <w:right w:val="single" w:sz="4" w:space="0" w:color="auto"/>
            </w:tcBorders>
            <w:hideMark/>
          </w:tcPr>
          <w:p w14:paraId="495C9B78"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3.171.730</w:t>
            </w:r>
          </w:p>
        </w:tc>
        <w:tc>
          <w:tcPr>
            <w:tcW w:w="527" w:type="dxa"/>
            <w:tcBorders>
              <w:top w:val="single" w:sz="4" w:space="0" w:color="auto"/>
              <w:left w:val="single" w:sz="4" w:space="0" w:color="auto"/>
              <w:bottom w:val="single" w:sz="4" w:space="0" w:color="auto"/>
              <w:right w:val="single" w:sz="4" w:space="0" w:color="auto"/>
            </w:tcBorders>
            <w:hideMark/>
          </w:tcPr>
          <w:p w14:paraId="00C535F8"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6,5</w:t>
            </w:r>
          </w:p>
        </w:tc>
        <w:tc>
          <w:tcPr>
            <w:tcW w:w="1214" w:type="dxa"/>
            <w:tcBorders>
              <w:top w:val="single" w:sz="4" w:space="0" w:color="auto"/>
              <w:left w:val="single" w:sz="4" w:space="0" w:color="auto"/>
              <w:bottom w:val="single" w:sz="4" w:space="0" w:color="auto"/>
              <w:right w:val="single" w:sz="4" w:space="0" w:color="auto"/>
            </w:tcBorders>
            <w:hideMark/>
          </w:tcPr>
          <w:p w14:paraId="28B429BC"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21.480.358</w:t>
            </w:r>
          </w:p>
        </w:tc>
        <w:tc>
          <w:tcPr>
            <w:tcW w:w="652" w:type="dxa"/>
            <w:tcBorders>
              <w:top w:val="single" w:sz="4" w:space="0" w:color="auto"/>
              <w:left w:val="single" w:sz="4" w:space="0" w:color="auto"/>
              <w:bottom w:val="single" w:sz="4" w:space="0" w:color="auto"/>
              <w:right w:val="single" w:sz="4" w:space="0" w:color="auto"/>
            </w:tcBorders>
            <w:hideMark/>
          </w:tcPr>
          <w:p w14:paraId="22B1E572"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43,8</w:t>
            </w:r>
          </w:p>
        </w:tc>
        <w:tc>
          <w:tcPr>
            <w:tcW w:w="1606" w:type="dxa"/>
            <w:tcBorders>
              <w:top w:val="single" w:sz="4" w:space="0" w:color="auto"/>
              <w:left w:val="single" w:sz="4" w:space="0" w:color="auto"/>
              <w:bottom w:val="single" w:sz="4" w:space="0" w:color="auto"/>
              <w:right w:val="single" w:sz="4" w:space="0" w:color="auto"/>
            </w:tcBorders>
            <w:hideMark/>
          </w:tcPr>
          <w:p w14:paraId="1DBC04B8"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510DCED0"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33037F" w14:paraId="5D810C92" w14:textId="77777777" w:rsidTr="0033037F">
        <w:tc>
          <w:tcPr>
            <w:tcW w:w="1442" w:type="dxa"/>
            <w:tcBorders>
              <w:top w:val="single" w:sz="4" w:space="0" w:color="auto"/>
              <w:left w:val="single" w:sz="4" w:space="0" w:color="auto"/>
              <w:bottom w:val="single" w:sz="4" w:space="0" w:color="auto"/>
              <w:right w:val="single" w:sz="4" w:space="0" w:color="auto"/>
            </w:tcBorders>
          </w:tcPr>
          <w:p w14:paraId="09928252"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Roma Misszió</w:t>
            </w:r>
          </w:p>
          <w:p w14:paraId="549E2EB9" w14:textId="77777777" w:rsidR="0033037F" w:rsidRDefault="0033037F">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53734C1E"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24.356.000</w:t>
            </w:r>
          </w:p>
        </w:tc>
        <w:tc>
          <w:tcPr>
            <w:tcW w:w="570" w:type="dxa"/>
            <w:tcBorders>
              <w:top w:val="single" w:sz="4" w:space="0" w:color="auto"/>
              <w:left w:val="single" w:sz="4" w:space="0" w:color="auto"/>
              <w:bottom w:val="single" w:sz="4" w:space="0" w:color="auto"/>
              <w:right w:val="single" w:sz="4" w:space="0" w:color="auto"/>
            </w:tcBorders>
            <w:hideMark/>
          </w:tcPr>
          <w:p w14:paraId="093BFDBC"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49,6</w:t>
            </w:r>
          </w:p>
        </w:tc>
        <w:tc>
          <w:tcPr>
            <w:tcW w:w="1390" w:type="dxa"/>
            <w:tcBorders>
              <w:top w:val="single" w:sz="4" w:space="0" w:color="auto"/>
              <w:left w:val="single" w:sz="4" w:space="0" w:color="auto"/>
              <w:bottom w:val="single" w:sz="4" w:space="0" w:color="auto"/>
              <w:right w:val="single" w:sz="4" w:space="0" w:color="auto"/>
            </w:tcBorders>
            <w:hideMark/>
          </w:tcPr>
          <w:p w14:paraId="5D81B8D0"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3.166.280</w:t>
            </w:r>
          </w:p>
        </w:tc>
        <w:tc>
          <w:tcPr>
            <w:tcW w:w="527" w:type="dxa"/>
            <w:tcBorders>
              <w:top w:val="single" w:sz="4" w:space="0" w:color="auto"/>
              <w:left w:val="single" w:sz="4" w:space="0" w:color="auto"/>
              <w:bottom w:val="single" w:sz="4" w:space="0" w:color="auto"/>
              <w:right w:val="single" w:sz="4" w:space="0" w:color="auto"/>
            </w:tcBorders>
            <w:hideMark/>
          </w:tcPr>
          <w:p w14:paraId="549BE126"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6,4</w:t>
            </w:r>
          </w:p>
        </w:tc>
        <w:tc>
          <w:tcPr>
            <w:tcW w:w="1214" w:type="dxa"/>
            <w:tcBorders>
              <w:top w:val="single" w:sz="4" w:space="0" w:color="auto"/>
              <w:left w:val="single" w:sz="4" w:space="0" w:color="auto"/>
              <w:bottom w:val="single" w:sz="4" w:space="0" w:color="auto"/>
              <w:right w:val="single" w:sz="4" w:space="0" w:color="auto"/>
            </w:tcBorders>
            <w:hideMark/>
          </w:tcPr>
          <w:p w14:paraId="7B19439F"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21.527.720</w:t>
            </w:r>
          </w:p>
        </w:tc>
        <w:tc>
          <w:tcPr>
            <w:tcW w:w="652" w:type="dxa"/>
            <w:tcBorders>
              <w:top w:val="single" w:sz="4" w:space="0" w:color="auto"/>
              <w:left w:val="single" w:sz="4" w:space="0" w:color="auto"/>
              <w:bottom w:val="single" w:sz="4" w:space="0" w:color="auto"/>
              <w:right w:val="single" w:sz="4" w:space="0" w:color="auto"/>
            </w:tcBorders>
            <w:hideMark/>
          </w:tcPr>
          <w:p w14:paraId="13441C48"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44,0</w:t>
            </w:r>
          </w:p>
        </w:tc>
        <w:tc>
          <w:tcPr>
            <w:tcW w:w="1606" w:type="dxa"/>
            <w:tcBorders>
              <w:top w:val="single" w:sz="4" w:space="0" w:color="auto"/>
              <w:left w:val="single" w:sz="4" w:space="0" w:color="auto"/>
              <w:bottom w:val="single" w:sz="4" w:space="0" w:color="auto"/>
              <w:right w:val="single" w:sz="4" w:space="0" w:color="auto"/>
            </w:tcBorders>
            <w:hideMark/>
          </w:tcPr>
          <w:p w14:paraId="36FDB0D3"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3D75711C"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33037F" w14:paraId="64D83F1E" w14:textId="77777777" w:rsidTr="0033037F">
        <w:tc>
          <w:tcPr>
            <w:tcW w:w="1442" w:type="dxa"/>
            <w:tcBorders>
              <w:top w:val="single" w:sz="4" w:space="0" w:color="auto"/>
              <w:left w:val="single" w:sz="4" w:space="0" w:color="auto"/>
              <w:bottom w:val="single" w:sz="4" w:space="0" w:color="auto"/>
              <w:right w:val="single" w:sz="4" w:space="0" w:color="auto"/>
            </w:tcBorders>
          </w:tcPr>
          <w:p w14:paraId="3ACC2F3B"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Média Centrum</w:t>
            </w:r>
          </w:p>
          <w:p w14:paraId="463CBD61" w14:textId="77777777" w:rsidR="0033037F" w:rsidRDefault="0033037F">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233A0F00"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24.487.400</w:t>
            </w:r>
          </w:p>
        </w:tc>
        <w:tc>
          <w:tcPr>
            <w:tcW w:w="570" w:type="dxa"/>
            <w:tcBorders>
              <w:top w:val="single" w:sz="4" w:space="0" w:color="auto"/>
              <w:left w:val="single" w:sz="4" w:space="0" w:color="auto"/>
              <w:bottom w:val="single" w:sz="4" w:space="0" w:color="auto"/>
              <w:right w:val="single" w:sz="4" w:space="0" w:color="auto"/>
            </w:tcBorders>
            <w:hideMark/>
          </w:tcPr>
          <w:p w14:paraId="055E47E6"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49,6</w:t>
            </w:r>
          </w:p>
        </w:tc>
        <w:tc>
          <w:tcPr>
            <w:tcW w:w="1390" w:type="dxa"/>
            <w:tcBorders>
              <w:top w:val="single" w:sz="4" w:space="0" w:color="auto"/>
              <w:left w:val="single" w:sz="4" w:space="0" w:color="auto"/>
              <w:bottom w:val="single" w:sz="4" w:space="0" w:color="auto"/>
              <w:right w:val="single" w:sz="4" w:space="0" w:color="auto"/>
            </w:tcBorders>
            <w:hideMark/>
          </w:tcPr>
          <w:p w14:paraId="0CF8EE51"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3.183.362</w:t>
            </w:r>
          </w:p>
        </w:tc>
        <w:tc>
          <w:tcPr>
            <w:tcW w:w="527" w:type="dxa"/>
            <w:tcBorders>
              <w:top w:val="single" w:sz="4" w:space="0" w:color="auto"/>
              <w:left w:val="single" w:sz="4" w:space="0" w:color="auto"/>
              <w:bottom w:val="single" w:sz="4" w:space="0" w:color="auto"/>
              <w:right w:val="single" w:sz="4" w:space="0" w:color="auto"/>
            </w:tcBorders>
            <w:hideMark/>
          </w:tcPr>
          <w:p w14:paraId="44DB4FE6"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6,5</w:t>
            </w:r>
          </w:p>
        </w:tc>
        <w:tc>
          <w:tcPr>
            <w:tcW w:w="1214" w:type="dxa"/>
            <w:tcBorders>
              <w:top w:val="single" w:sz="4" w:space="0" w:color="auto"/>
              <w:left w:val="single" w:sz="4" w:space="0" w:color="auto"/>
              <w:bottom w:val="single" w:sz="4" w:space="0" w:color="auto"/>
              <w:right w:val="single" w:sz="4" w:space="0" w:color="auto"/>
            </w:tcBorders>
            <w:hideMark/>
          </w:tcPr>
          <w:p w14:paraId="2C95066B"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21.379.238</w:t>
            </w:r>
          </w:p>
        </w:tc>
        <w:tc>
          <w:tcPr>
            <w:tcW w:w="652" w:type="dxa"/>
            <w:tcBorders>
              <w:top w:val="single" w:sz="4" w:space="0" w:color="auto"/>
              <w:left w:val="single" w:sz="4" w:space="0" w:color="auto"/>
              <w:bottom w:val="single" w:sz="4" w:space="0" w:color="auto"/>
              <w:right w:val="single" w:sz="4" w:space="0" w:color="auto"/>
            </w:tcBorders>
            <w:hideMark/>
          </w:tcPr>
          <w:p w14:paraId="6C2404DE"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43,8</w:t>
            </w:r>
          </w:p>
        </w:tc>
        <w:tc>
          <w:tcPr>
            <w:tcW w:w="1606" w:type="dxa"/>
            <w:tcBorders>
              <w:top w:val="single" w:sz="4" w:space="0" w:color="auto"/>
              <w:left w:val="single" w:sz="4" w:space="0" w:color="auto"/>
              <w:bottom w:val="single" w:sz="4" w:space="0" w:color="auto"/>
              <w:right w:val="single" w:sz="4" w:space="0" w:color="auto"/>
            </w:tcBorders>
            <w:hideMark/>
          </w:tcPr>
          <w:p w14:paraId="3CDBBC39"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54D0AF0C"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33037F" w14:paraId="5B3C88C9" w14:textId="77777777" w:rsidTr="0033037F">
        <w:tc>
          <w:tcPr>
            <w:tcW w:w="1442" w:type="dxa"/>
            <w:tcBorders>
              <w:top w:val="single" w:sz="4" w:space="0" w:color="auto"/>
              <w:left w:val="single" w:sz="4" w:space="0" w:color="auto"/>
              <w:bottom w:val="single" w:sz="4" w:space="0" w:color="auto"/>
              <w:right w:val="single" w:sz="4" w:space="0" w:color="auto"/>
            </w:tcBorders>
          </w:tcPr>
          <w:p w14:paraId="56FA40FB"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Sportközpont</w:t>
            </w:r>
          </w:p>
          <w:p w14:paraId="599BCA47" w14:textId="77777777" w:rsidR="0033037F" w:rsidRDefault="0033037F">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48ABF19D"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20.756.000</w:t>
            </w:r>
          </w:p>
        </w:tc>
        <w:tc>
          <w:tcPr>
            <w:tcW w:w="570" w:type="dxa"/>
            <w:tcBorders>
              <w:top w:val="single" w:sz="4" w:space="0" w:color="auto"/>
              <w:left w:val="single" w:sz="4" w:space="0" w:color="auto"/>
              <w:bottom w:val="single" w:sz="4" w:space="0" w:color="auto"/>
              <w:right w:val="single" w:sz="4" w:space="0" w:color="auto"/>
            </w:tcBorders>
            <w:hideMark/>
          </w:tcPr>
          <w:p w14:paraId="0760FC7D"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42,3</w:t>
            </w:r>
          </w:p>
        </w:tc>
        <w:tc>
          <w:tcPr>
            <w:tcW w:w="1390" w:type="dxa"/>
            <w:tcBorders>
              <w:top w:val="single" w:sz="4" w:space="0" w:color="auto"/>
              <w:left w:val="single" w:sz="4" w:space="0" w:color="auto"/>
              <w:bottom w:val="single" w:sz="4" w:space="0" w:color="auto"/>
              <w:right w:val="single" w:sz="4" w:space="0" w:color="auto"/>
            </w:tcBorders>
            <w:hideMark/>
          </w:tcPr>
          <w:p w14:paraId="2EC302D4"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2.698.280</w:t>
            </w:r>
          </w:p>
        </w:tc>
        <w:tc>
          <w:tcPr>
            <w:tcW w:w="527" w:type="dxa"/>
            <w:tcBorders>
              <w:top w:val="single" w:sz="4" w:space="0" w:color="auto"/>
              <w:left w:val="single" w:sz="4" w:space="0" w:color="auto"/>
              <w:bottom w:val="single" w:sz="4" w:space="0" w:color="auto"/>
              <w:right w:val="single" w:sz="4" w:space="0" w:color="auto"/>
            </w:tcBorders>
            <w:hideMark/>
          </w:tcPr>
          <w:p w14:paraId="0A505A6F"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5,5</w:t>
            </w:r>
          </w:p>
        </w:tc>
        <w:tc>
          <w:tcPr>
            <w:tcW w:w="1214" w:type="dxa"/>
            <w:tcBorders>
              <w:top w:val="single" w:sz="4" w:space="0" w:color="auto"/>
              <w:left w:val="single" w:sz="4" w:space="0" w:color="auto"/>
              <w:bottom w:val="single" w:sz="4" w:space="0" w:color="auto"/>
              <w:right w:val="single" w:sz="4" w:space="0" w:color="auto"/>
            </w:tcBorders>
            <w:hideMark/>
          </w:tcPr>
          <w:p w14:paraId="47A9F884"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25.595.720</w:t>
            </w:r>
          </w:p>
        </w:tc>
        <w:tc>
          <w:tcPr>
            <w:tcW w:w="652" w:type="dxa"/>
            <w:tcBorders>
              <w:top w:val="single" w:sz="4" w:space="0" w:color="auto"/>
              <w:left w:val="single" w:sz="4" w:space="0" w:color="auto"/>
              <w:bottom w:val="single" w:sz="4" w:space="0" w:color="auto"/>
              <w:right w:val="single" w:sz="4" w:space="0" w:color="auto"/>
            </w:tcBorders>
            <w:hideMark/>
          </w:tcPr>
          <w:p w14:paraId="5EAFAF87"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52,2</w:t>
            </w:r>
          </w:p>
        </w:tc>
        <w:tc>
          <w:tcPr>
            <w:tcW w:w="1606" w:type="dxa"/>
            <w:tcBorders>
              <w:top w:val="single" w:sz="4" w:space="0" w:color="auto"/>
              <w:left w:val="single" w:sz="4" w:space="0" w:color="auto"/>
              <w:bottom w:val="single" w:sz="4" w:space="0" w:color="auto"/>
              <w:right w:val="single" w:sz="4" w:space="0" w:color="auto"/>
            </w:tcBorders>
            <w:hideMark/>
          </w:tcPr>
          <w:p w14:paraId="14EDA423" w14:textId="77777777" w:rsidR="0033037F" w:rsidRDefault="0033037F">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7BBEA13D" w14:textId="77777777" w:rsidR="0033037F" w:rsidRDefault="0033037F">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33037F" w14:paraId="511D65BC" w14:textId="77777777" w:rsidTr="0033037F">
        <w:tc>
          <w:tcPr>
            <w:tcW w:w="1442" w:type="dxa"/>
            <w:tcBorders>
              <w:top w:val="single" w:sz="4" w:space="0" w:color="auto"/>
              <w:left w:val="single" w:sz="4" w:space="0" w:color="auto"/>
              <w:bottom w:val="single" w:sz="4" w:space="0" w:color="auto"/>
              <w:right w:val="single" w:sz="4" w:space="0" w:color="auto"/>
            </w:tcBorders>
          </w:tcPr>
          <w:p w14:paraId="3C5868F4"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ÖSSZESEN</w:t>
            </w:r>
          </w:p>
          <w:p w14:paraId="26BF1BA1" w14:textId="77777777" w:rsidR="0033037F" w:rsidRDefault="0033037F">
            <w:pPr>
              <w:pStyle w:val="Default"/>
              <w:ind w:right="-57"/>
              <w:jc w:val="center"/>
              <w:rPr>
                <w:rFonts w:asciiTheme="majorHAnsi" w:hAnsiTheme="majorHAnsi" w:cstheme="majorHAnsi"/>
                <w:b/>
                <w:bCs/>
                <w:i/>
                <w:iCs/>
                <w:color w:val="000000" w:themeColor="text1"/>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0C93B1CE"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93.997.312</w:t>
            </w:r>
          </w:p>
        </w:tc>
        <w:tc>
          <w:tcPr>
            <w:tcW w:w="570" w:type="dxa"/>
            <w:tcBorders>
              <w:top w:val="single" w:sz="4" w:space="0" w:color="auto"/>
              <w:left w:val="single" w:sz="4" w:space="0" w:color="auto"/>
              <w:bottom w:val="single" w:sz="4" w:space="0" w:color="auto"/>
              <w:right w:val="single" w:sz="4" w:space="0" w:color="auto"/>
            </w:tcBorders>
            <w:hideMark/>
          </w:tcPr>
          <w:p w14:paraId="1918D5CC"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47,9</w:t>
            </w:r>
          </w:p>
        </w:tc>
        <w:tc>
          <w:tcPr>
            <w:tcW w:w="1390" w:type="dxa"/>
            <w:tcBorders>
              <w:top w:val="single" w:sz="4" w:space="0" w:color="auto"/>
              <w:left w:val="single" w:sz="4" w:space="0" w:color="auto"/>
              <w:bottom w:val="single" w:sz="4" w:space="0" w:color="auto"/>
              <w:right w:val="single" w:sz="4" w:space="0" w:color="auto"/>
            </w:tcBorders>
            <w:hideMark/>
          </w:tcPr>
          <w:p w14:paraId="68CEC228"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12.219.652</w:t>
            </w:r>
          </w:p>
        </w:tc>
        <w:tc>
          <w:tcPr>
            <w:tcW w:w="527" w:type="dxa"/>
            <w:tcBorders>
              <w:top w:val="single" w:sz="4" w:space="0" w:color="auto"/>
              <w:left w:val="single" w:sz="4" w:space="0" w:color="auto"/>
              <w:bottom w:val="single" w:sz="4" w:space="0" w:color="auto"/>
              <w:right w:val="single" w:sz="4" w:space="0" w:color="auto"/>
            </w:tcBorders>
            <w:hideMark/>
          </w:tcPr>
          <w:p w14:paraId="5EFB6A92"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6,2</w:t>
            </w:r>
          </w:p>
        </w:tc>
        <w:tc>
          <w:tcPr>
            <w:tcW w:w="1214" w:type="dxa"/>
            <w:tcBorders>
              <w:top w:val="single" w:sz="4" w:space="0" w:color="auto"/>
              <w:left w:val="single" w:sz="4" w:space="0" w:color="auto"/>
              <w:bottom w:val="single" w:sz="4" w:space="0" w:color="auto"/>
              <w:right w:val="single" w:sz="4" w:space="0" w:color="auto"/>
            </w:tcBorders>
            <w:hideMark/>
          </w:tcPr>
          <w:p w14:paraId="6E344E69"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89.983.036</w:t>
            </w:r>
          </w:p>
        </w:tc>
        <w:tc>
          <w:tcPr>
            <w:tcW w:w="652" w:type="dxa"/>
            <w:tcBorders>
              <w:top w:val="single" w:sz="4" w:space="0" w:color="auto"/>
              <w:left w:val="single" w:sz="4" w:space="0" w:color="auto"/>
              <w:bottom w:val="single" w:sz="4" w:space="0" w:color="auto"/>
              <w:right w:val="single" w:sz="4" w:space="0" w:color="auto"/>
            </w:tcBorders>
            <w:hideMark/>
          </w:tcPr>
          <w:p w14:paraId="67B0F725"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45,9</w:t>
            </w:r>
          </w:p>
        </w:tc>
        <w:tc>
          <w:tcPr>
            <w:tcW w:w="1606" w:type="dxa"/>
            <w:tcBorders>
              <w:top w:val="single" w:sz="4" w:space="0" w:color="auto"/>
              <w:left w:val="single" w:sz="4" w:space="0" w:color="auto"/>
              <w:bottom w:val="single" w:sz="4" w:space="0" w:color="auto"/>
              <w:right w:val="single" w:sz="4" w:space="0" w:color="auto"/>
            </w:tcBorders>
            <w:hideMark/>
          </w:tcPr>
          <w:p w14:paraId="0B0640F4"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196.200.000</w:t>
            </w:r>
          </w:p>
        </w:tc>
        <w:tc>
          <w:tcPr>
            <w:tcW w:w="709" w:type="dxa"/>
            <w:tcBorders>
              <w:top w:val="single" w:sz="4" w:space="0" w:color="auto"/>
              <w:left w:val="single" w:sz="4" w:space="0" w:color="auto"/>
              <w:bottom w:val="single" w:sz="4" w:space="0" w:color="auto"/>
              <w:right w:val="single" w:sz="4" w:space="0" w:color="auto"/>
            </w:tcBorders>
            <w:hideMark/>
          </w:tcPr>
          <w:p w14:paraId="09F68372" w14:textId="77777777" w:rsidR="0033037F" w:rsidRDefault="0033037F">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100</w:t>
            </w:r>
          </w:p>
        </w:tc>
      </w:tr>
    </w:tbl>
    <w:p w14:paraId="6FD4B569" w14:textId="77777777" w:rsidR="0033037F" w:rsidRDefault="0033037F" w:rsidP="0033037F">
      <w:pPr>
        <w:pStyle w:val="Default"/>
        <w:ind w:right="-57"/>
        <w:jc w:val="both"/>
        <w:rPr>
          <w:rFonts w:asciiTheme="majorHAnsi" w:hAnsiTheme="majorHAnsi" w:cstheme="majorHAnsi"/>
        </w:rPr>
      </w:pPr>
    </w:p>
    <w:p w14:paraId="4E406E5C" w14:textId="77777777" w:rsidR="0033037F" w:rsidRDefault="0033037F" w:rsidP="0033037F">
      <w:pPr>
        <w:pStyle w:val="Default"/>
        <w:ind w:right="-57"/>
        <w:jc w:val="both"/>
        <w:rPr>
          <w:rFonts w:asciiTheme="majorHAnsi" w:hAnsiTheme="majorHAnsi" w:cstheme="majorHAnsi"/>
        </w:rPr>
      </w:pPr>
    </w:p>
    <w:p w14:paraId="18D6AAF2" w14:textId="77777777" w:rsidR="0033037F" w:rsidRDefault="0033037F" w:rsidP="0033037F">
      <w:pPr>
        <w:pStyle w:val="Default"/>
        <w:ind w:left="-57" w:right="-57"/>
        <w:jc w:val="both"/>
        <w:rPr>
          <w:rFonts w:asciiTheme="majorHAnsi" w:hAnsiTheme="majorHAnsi" w:cstheme="majorHAnsi"/>
        </w:rPr>
      </w:pPr>
      <w:r>
        <w:rPr>
          <w:rFonts w:asciiTheme="majorHAnsi" w:hAnsiTheme="majorHAnsi" w:cstheme="majorHAnsi"/>
        </w:rPr>
        <w:t>A kiemelt előirányzatonként tervezett előirányzatok az intézményi teljes támogatás 196.200.000, -Ft felhasználásának összesített kimutatásában sem lépik túl az elvárt kiadási arányokat.</w:t>
      </w:r>
    </w:p>
    <w:p w14:paraId="7E68D27D" w14:textId="77777777" w:rsidR="0033037F" w:rsidRDefault="0033037F" w:rsidP="0033037F">
      <w:pPr>
        <w:pStyle w:val="Default"/>
        <w:ind w:left="-57" w:right="-57"/>
        <w:jc w:val="both"/>
        <w:rPr>
          <w:rFonts w:asciiTheme="majorHAnsi" w:hAnsiTheme="majorHAnsi" w:cstheme="majorHAnsi"/>
        </w:rPr>
      </w:pPr>
    </w:p>
    <w:p w14:paraId="165FF7AE" w14:textId="77777777" w:rsidR="0033037F" w:rsidRDefault="0033037F" w:rsidP="0033037F">
      <w:pPr>
        <w:pStyle w:val="Default"/>
        <w:ind w:left="-57" w:right="-57"/>
        <w:jc w:val="both"/>
        <w:rPr>
          <w:rFonts w:asciiTheme="majorHAnsi" w:hAnsiTheme="majorHAnsi" w:cstheme="majorHAnsi"/>
        </w:rPr>
      </w:pPr>
      <w:r>
        <w:rPr>
          <w:rFonts w:asciiTheme="majorHAnsi" w:hAnsiTheme="majorHAnsi" w:cstheme="majorHAnsi"/>
        </w:rPr>
        <w:t>A módosított előirányzatok az önkormányzat költségvetésében is átvezetésre, módosításra kerülnek ennek megfelelően:</w:t>
      </w:r>
    </w:p>
    <w:p w14:paraId="7AAD81D5" w14:textId="77777777" w:rsidR="0033037F" w:rsidRDefault="0033037F" w:rsidP="0033037F">
      <w:pPr>
        <w:pStyle w:val="Default"/>
        <w:ind w:left="-57" w:right="-57"/>
        <w:jc w:val="both"/>
        <w:rPr>
          <w:rFonts w:asciiTheme="majorHAnsi" w:hAnsiTheme="majorHAnsi" w:cstheme="majorHAnsi"/>
        </w:rPr>
      </w:pPr>
    </w:p>
    <w:p w14:paraId="6D5ACE59" w14:textId="77777777" w:rsidR="0033037F" w:rsidRDefault="0033037F" w:rsidP="0033037F">
      <w:pPr>
        <w:spacing w:line="240" w:lineRule="auto"/>
        <w:jc w:val="both"/>
        <w:rPr>
          <w:rFonts w:asciiTheme="majorHAnsi" w:hAnsiTheme="majorHAnsi" w:cstheme="majorHAnsi"/>
          <w:b/>
          <w:sz w:val="24"/>
          <w:szCs w:val="24"/>
        </w:rPr>
      </w:pPr>
      <w:r>
        <w:rPr>
          <w:rFonts w:asciiTheme="majorHAnsi" w:hAnsiTheme="majorHAnsi" w:cstheme="majorHAnsi"/>
          <w:b/>
          <w:sz w:val="24"/>
          <w:szCs w:val="24"/>
        </w:rPr>
        <w:t>Működési bevételek összege</w:t>
      </w:r>
      <w:r>
        <w:rPr>
          <w:rFonts w:asciiTheme="majorHAnsi" w:hAnsiTheme="majorHAnsi" w:cstheme="majorHAnsi"/>
          <w:b/>
          <w:sz w:val="24"/>
          <w:szCs w:val="24"/>
        </w:rPr>
        <w:tab/>
      </w:r>
      <w:r>
        <w:rPr>
          <w:rFonts w:asciiTheme="majorHAnsi" w:hAnsiTheme="majorHAnsi" w:cstheme="majorHAnsi"/>
          <w:b/>
          <w:sz w:val="24"/>
          <w:szCs w:val="24"/>
        </w:rPr>
        <w:tab/>
        <w:t>1.277.176.376,-Ft</w:t>
      </w:r>
    </w:p>
    <w:p w14:paraId="4FAB23D8" w14:textId="77777777" w:rsidR="0033037F" w:rsidRDefault="0033037F" w:rsidP="0033037F">
      <w:pPr>
        <w:spacing w:line="240" w:lineRule="auto"/>
        <w:jc w:val="both"/>
        <w:rPr>
          <w:rFonts w:asciiTheme="majorHAnsi" w:hAnsiTheme="majorHAnsi" w:cstheme="majorHAnsi"/>
          <w:sz w:val="24"/>
          <w:szCs w:val="24"/>
        </w:rPr>
      </w:pPr>
      <w:r>
        <w:rPr>
          <w:rFonts w:asciiTheme="majorHAnsi" w:hAnsiTheme="majorHAnsi" w:cstheme="majorHAnsi"/>
          <w:sz w:val="24"/>
          <w:szCs w:val="24"/>
        </w:rPr>
        <w:t>Ebből:</w:t>
      </w:r>
    </w:p>
    <w:p w14:paraId="738AE484"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Központi működési célú támogatás BM</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483.200.000,-Ft</w:t>
      </w:r>
    </w:p>
    <w:p w14:paraId="326D8DFF"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Központi támogatás intézmények BM</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196.200.000,-Ft</w:t>
      </w:r>
    </w:p>
    <w:p w14:paraId="2FED34CC"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Köznevelési intézmények normatív támogatása     </w:t>
      </w:r>
      <w:r>
        <w:rPr>
          <w:rFonts w:asciiTheme="majorHAnsi" w:hAnsiTheme="majorHAnsi" w:cstheme="majorHAnsi"/>
          <w:sz w:val="24"/>
          <w:szCs w:val="24"/>
        </w:rPr>
        <w:tab/>
        <w:t>597.776.376, -Ft</w:t>
      </w:r>
    </w:p>
    <w:p w14:paraId="3A0F42B0" w14:textId="77777777" w:rsidR="0033037F" w:rsidRDefault="0033037F" w:rsidP="0033037F">
      <w:pPr>
        <w:spacing w:line="240" w:lineRule="auto"/>
        <w:jc w:val="both"/>
        <w:rPr>
          <w:rFonts w:asciiTheme="majorHAnsi" w:hAnsiTheme="majorHAnsi" w:cstheme="majorHAnsi"/>
          <w:b/>
          <w:sz w:val="24"/>
          <w:szCs w:val="24"/>
        </w:rPr>
      </w:pPr>
      <w:r>
        <w:rPr>
          <w:rFonts w:asciiTheme="majorHAnsi" w:hAnsiTheme="majorHAnsi" w:cstheme="majorHAnsi"/>
          <w:b/>
          <w:sz w:val="24"/>
          <w:szCs w:val="24"/>
        </w:rPr>
        <w:t>Működési célú kiadások összege         1.277.176.376, -Ft</w:t>
      </w:r>
    </w:p>
    <w:p w14:paraId="767E25D6"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Személyi juttatások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882.451.936,-Ft</w:t>
      </w:r>
    </w:p>
    <w:p w14:paraId="607E8305" w14:textId="77777777" w:rsidR="0033037F" w:rsidRDefault="0033037F" w:rsidP="0033037F">
      <w:pPr>
        <w:pStyle w:val="Listaszerbekezds"/>
        <w:numPr>
          <w:ilvl w:val="0"/>
          <w:numId w:val="9"/>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 xml:space="preserve">Módosított </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875.801.848,-Ft</w:t>
      </w:r>
    </w:p>
    <w:p w14:paraId="70752F74"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Munkaadót terhelő járulékok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114.686.260, -Ft</w:t>
      </w:r>
    </w:p>
    <w:p w14:paraId="5AAA70C5" w14:textId="77777777" w:rsidR="0033037F" w:rsidRDefault="0033037F" w:rsidP="0033037F">
      <w:pPr>
        <w:pStyle w:val="Listaszerbekezds"/>
        <w:numPr>
          <w:ilvl w:val="0"/>
          <w:numId w:val="9"/>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Módosított</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113.845.622,-Ft</w:t>
      </w:r>
    </w:p>
    <w:p w14:paraId="57B52AAE" w14:textId="77777777" w:rsidR="0033037F" w:rsidRDefault="0033037F" w:rsidP="0033037F">
      <w:pPr>
        <w:pStyle w:val="Listaszerbekezds"/>
        <w:numPr>
          <w:ilvl w:val="0"/>
          <w:numId w:val="9"/>
        </w:numPr>
        <w:spacing w:line="240" w:lineRule="auto"/>
        <w:jc w:val="both"/>
        <w:rPr>
          <w:rFonts w:asciiTheme="majorHAnsi" w:hAnsiTheme="majorHAnsi" w:cstheme="majorHAnsi"/>
          <w:sz w:val="24"/>
          <w:szCs w:val="24"/>
        </w:rPr>
      </w:pPr>
      <w:r>
        <w:rPr>
          <w:rFonts w:asciiTheme="majorHAnsi" w:hAnsiTheme="majorHAnsi" w:cstheme="majorHAnsi"/>
          <w:sz w:val="24"/>
          <w:szCs w:val="24"/>
        </w:rPr>
        <w:t>Dologi kiadások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253.933.380, -Ft</w:t>
      </w:r>
    </w:p>
    <w:p w14:paraId="5C332B61" w14:textId="77777777" w:rsidR="0033037F" w:rsidRDefault="0033037F" w:rsidP="0033037F">
      <w:pPr>
        <w:pStyle w:val="Listaszerbekezds"/>
        <w:numPr>
          <w:ilvl w:val="0"/>
          <w:numId w:val="9"/>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Módosított</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261.424.106,-Ft</w:t>
      </w:r>
    </w:p>
    <w:p w14:paraId="3213FDBC" w14:textId="77777777" w:rsidR="0033037F" w:rsidRDefault="0033037F" w:rsidP="0033037F">
      <w:pPr>
        <w:spacing w:line="240" w:lineRule="auto"/>
        <w:jc w:val="both"/>
        <w:rPr>
          <w:rFonts w:asciiTheme="majorHAnsi" w:hAnsiTheme="majorHAnsi" w:cstheme="majorHAnsi"/>
          <w:b/>
          <w:sz w:val="24"/>
          <w:szCs w:val="24"/>
        </w:rPr>
      </w:pPr>
      <w:r>
        <w:rPr>
          <w:rFonts w:asciiTheme="majorHAnsi" w:hAnsiTheme="majorHAnsi" w:cstheme="majorHAnsi"/>
          <w:b/>
          <w:sz w:val="24"/>
          <w:szCs w:val="24"/>
        </w:rPr>
        <w:t>Felhalmozási célú kiadások összege</w:t>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t xml:space="preserve">    </w:t>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t>0, -Ft</w:t>
      </w:r>
    </w:p>
    <w:p w14:paraId="43F9D270" w14:textId="77777777" w:rsidR="0033037F" w:rsidRDefault="0033037F" w:rsidP="0033037F">
      <w:pPr>
        <w:spacing w:line="240" w:lineRule="auto"/>
        <w:jc w:val="both"/>
        <w:rPr>
          <w:rFonts w:asciiTheme="majorHAnsi" w:hAnsiTheme="majorHAnsi" w:cstheme="majorHAnsi"/>
          <w:sz w:val="24"/>
          <w:szCs w:val="24"/>
        </w:rPr>
      </w:pPr>
    </w:p>
    <w:p w14:paraId="620AF4EB" w14:textId="77777777" w:rsidR="0033037F" w:rsidRDefault="0033037F" w:rsidP="0033037F">
      <w:pPr>
        <w:spacing w:line="240" w:lineRule="auto"/>
        <w:jc w:val="both"/>
        <w:rPr>
          <w:rFonts w:asciiTheme="majorHAnsi" w:hAnsiTheme="majorHAnsi" w:cstheme="majorHAnsi"/>
          <w:b/>
          <w:sz w:val="24"/>
          <w:szCs w:val="24"/>
        </w:rPr>
      </w:pPr>
      <w:r>
        <w:rPr>
          <w:rFonts w:asciiTheme="majorHAnsi" w:hAnsiTheme="majorHAnsi" w:cstheme="majorHAnsi"/>
          <w:b/>
          <w:sz w:val="24"/>
          <w:szCs w:val="24"/>
        </w:rPr>
        <w:t>2. A jóváhagyott kiadásokból az önkormányzat tartalék előirányzata</w:t>
      </w:r>
    </w:p>
    <w:p w14:paraId="5962BA3B" w14:textId="77777777" w:rsidR="0033037F" w:rsidRDefault="0033037F" w:rsidP="0033037F">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Általános tartalékot az önkormányzat </w:t>
      </w:r>
      <w:r>
        <w:rPr>
          <w:rFonts w:asciiTheme="majorHAnsi" w:hAnsiTheme="majorHAnsi" w:cstheme="majorHAnsi"/>
          <w:b/>
          <w:bCs/>
          <w:sz w:val="24"/>
          <w:szCs w:val="24"/>
        </w:rPr>
        <w:t>26.104.800</w:t>
      </w:r>
      <w:r>
        <w:rPr>
          <w:rFonts w:asciiTheme="majorHAnsi" w:hAnsiTheme="majorHAnsi" w:cstheme="majorHAnsi"/>
          <w:sz w:val="24"/>
          <w:szCs w:val="24"/>
        </w:rPr>
        <w:t>, -Ft összegben képez.</w:t>
      </w:r>
    </w:p>
    <w:p w14:paraId="01D568F3" w14:textId="77777777" w:rsidR="0033037F" w:rsidRDefault="0033037F" w:rsidP="0033037F">
      <w:pPr>
        <w:spacing w:after="0" w:line="240" w:lineRule="auto"/>
        <w:jc w:val="both"/>
        <w:rPr>
          <w:rFonts w:asciiTheme="majorHAnsi" w:hAnsiTheme="majorHAnsi" w:cstheme="majorHAnsi"/>
          <w:b/>
          <w:u w:val="single"/>
        </w:rPr>
      </w:pPr>
    </w:p>
    <w:p w14:paraId="7327F33D" w14:textId="6BB5F44D" w:rsidR="0033037F" w:rsidRDefault="0033037F" w:rsidP="0033037F">
      <w:pPr>
        <w:spacing w:after="0" w:line="240" w:lineRule="auto"/>
        <w:jc w:val="both"/>
        <w:rPr>
          <w:rFonts w:asciiTheme="majorHAnsi" w:hAnsiTheme="majorHAnsi" w:cstheme="majorHAnsi"/>
          <w:b/>
          <w:u w:val="single"/>
        </w:rPr>
      </w:pPr>
      <w:r>
        <w:rPr>
          <w:rFonts w:asciiTheme="majorHAnsi" w:hAnsiTheme="majorHAnsi" w:cstheme="majorHAnsi"/>
          <w:b/>
          <w:u w:val="single"/>
        </w:rPr>
        <w:t>Önkormányzati feladatellátás</w:t>
      </w:r>
    </w:p>
    <w:p w14:paraId="3E6A1CCB" w14:textId="77777777" w:rsidR="0033037F" w:rsidRDefault="0033037F" w:rsidP="0033037F">
      <w:pPr>
        <w:spacing w:after="0" w:line="240" w:lineRule="auto"/>
        <w:jc w:val="both"/>
        <w:rPr>
          <w:rFonts w:asciiTheme="majorHAnsi" w:hAnsiTheme="majorHAnsi" w:cstheme="majorHAnsi"/>
          <w:b/>
          <w:u w:val="single"/>
        </w:rPr>
      </w:pPr>
    </w:p>
    <w:p w14:paraId="5EAB5782" w14:textId="77777777" w:rsidR="0033037F" w:rsidRDefault="0033037F" w:rsidP="0033037F">
      <w:pPr>
        <w:spacing w:after="0" w:line="240" w:lineRule="auto"/>
        <w:jc w:val="both"/>
        <w:rPr>
          <w:rFonts w:asciiTheme="majorHAnsi" w:hAnsiTheme="majorHAnsi" w:cstheme="majorHAnsi"/>
          <w:b/>
          <w:u w:val="single"/>
        </w:rPr>
      </w:pPr>
    </w:p>
    <w:tbl>
      <w:tblPr>
        <w:tblW w:w="9688" w:type="dxa"/>
        <w:tblInd w:w="-479" w:type="dxa"/>
        <w:tblCellMar>
          <w:left w:w="70" w:type="dxa"/>
          <w:right w:w="70" w:type="dxa"/>
        </w:tblCellMar>
        <w:tblLook w:val="04A0" w:firstRow="1" w:lastRow="0" w:firstColumn="1" w:lastColumn="0" w:noHBand="0" w:noVBand="1"/>
      </w:tblPr>
      <w:tblGrid>
        <w:gridCol w:w="2960"/>
        <w:gridCol w:w="2192"/>
        <w:gridCol w:w="2126"/>
        <w:gridCol w:w="2410"/>
      </w:tblGrid>
      <w:tr w:rsidR="0033037F" w14:paraId="496276CB" w14:textId="77777777" w:rsidTr="0033037F">
        <w:trPr>
          <w:trHeight w:val="872"/>
        </w:trPr>
        <w:tc>
          <w:tcPr>
            <w:tcW w:w="2960" w:type="dxa"/>
            <w:tcBorders>
              <w:top w:val="single" w:sz="4" w:space="0" w:color="auto"/>
              <w:left w:val="single" w:sz="4" w:space="0" w:color="auto"/>
              <w:bottom w:val="single" w:sz="4" w:space="0" w:color="auto"/>
              <w:right w:val="single" w:sz="4" w:space="0" w:color="auto"/>
            </w:tcBorders>
            <w:vAlign w:val="bottom"/>
            <w:hideMark/>
          </w:tcPr>
          <w:p w14:paraId="6E48F9CE"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Magyarországi Romák Országos Önkormányzata előirányzat megnevezése</w:t>
            </w:r>
          </w:p>
        </w:tc>
        <w:tc>
          <w:tcPr>
            <w:tcW w:w="2192" w:type="dxa"/>
            <w:tcBorders>
              <w:top w:val="single" w:sz="4" w:space="0" w:color="auto"/>
              <w:left w:val="nil"/>
              <w:bottom w:val="single" w:sz="4" w:space="0" w:color="auto"/>
              <w:right w:val="single" w:sz="4" w:space="0" w:color="auto"/>
            </w:tcBorders>
            <w:vAlign w:val="bottom"/>
            <w:hideMark/>
          </w:tcPr>
          <w:p w14:paraId="00A43D0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37C65D02"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126" w:type="dxa"/>
            <w:tcBorders>
              <w:top w:val="single" w:sz="4" w:space="0" w:color="auto"/>
              <w:left w:val="nil"/>
              <w:bottom w:val="single" w:sz="4" w:space="0" w:color="auto"/>
              <w:right w:val="single" w:sz="4" w:space="0" w:color="auto"/>
            </w:tcBorders>
            <w:vAlign w:val="bottom"/>
            <w:hideMark/>
          </w:tcPr>
          <w:p w14:paraId="4FEAEE4B"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410" w:type="dxa"/>
            <w:tcBorders>
              <w:top w:val="single" w:sz="4" w:space="0" w:color="auto"/>
              <w:left w:val="nil"/>
              <w:bottom w:val="single" w:sz="4" w:space="0" w:color="auto"/>
              <w:right w:val="single" w:sz="4" w:space="0" w:color="auto"/>
            </w:tcBorders>
            <w:vAlign w:val="bottom"/>
            <w:hideMark/>
          </w:tcPr>
          <w:p w14:paraId="02C48D04"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71841D7C" w14:textId="77777777" w:rsidTr="0033037F">
        <w:trPr>
          <w:trHeight w:val="444"/>
        </w:trPr>
        <w:tc>
          <w:tcPr>
            <w:tcW w:w="2960" w:type="dxa"/>
            <w:tcBorders>
              <w:top w:val="nil"/>
              <w:left w:val="single" w:sz="4" w:space="0" w:color="auto"/>
              <w:bottom w:val="single" w:sz="4" w:space="0" w:color="auto"/>
              <w:right w:val="single" w:sz="4" w:space="0" w:color="auto"/>
            </w:tcBorders>
            <w:noWrap/>
            <w:vAlign w:val="bottom"/>
            <w:hideMark/>
          </w:tcPr>
          <w:p w14:paraId="61742742"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192" w:type="dxa"/>
            <w:tcBorders>
              <w:top w:val="nil"/>
              <w:left w:val="nil"/>
              <w:bottom w:val="single" w:sz="4" w:space="0" w:color="auto"/>
              <w:right w:val="single" w:sz="4" w:space="0" w:color="auto"/>
            </w:tcBorders>
            <w:noWrap/>
            <w:vAlign w:val="bottom"/>
            <w:hideMark/>
          </w:tcPr>
          <w:p w14:paraId="4012F3D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187.967.400</w:t>
            </w:r>
          </w:p>
        </w:tc>
        <w:tc>
          <w:tcPr>
            <w:tcW w:w="2126" w:type="dxa"/>
            <w:tcBorders>
              <w:top w:val="nil"/>
              <w:left w:val="nil"/>
              <w:bottom w:val="single" w:sz="4" w:space="0" w:color="auto"/>
              <w:right w:val="single" w:sz="4" w:space="0" w:color="auto"/>
            </w:tcBorders>
            <w:noWrap/>
            <w:vAlign w:val="bottom"/>
            <w:hideMark/>
          </w:tcPr>
          <w:p w14:paraId="3220F89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35ED73E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187.967.400</w:t>
            </w:r>
          </w:p>
        </w:tc>
      </w:tr>
      <w:tr w:rsidR="0033037F" w14:paraId="60426663" w14:textId="77777777" w:rsidTr="0033037F">
        <w:trPr>
          <w:trHeight w:val="422"/>
        </w:trPr>
        <w:tc>
          <w:tcPr>
            <w:tcW w:w="2960" w:type="dxa"/>
            <w:tcBorders>
              <w:top w:val="nil"/>
              <w:left w:val="single" w:sz="4" w:space="0" w:color="auto"/>
              <w:bottom w:val="single" w:sz="4" w:space="0" w:color="auto"/>
              <w:right w:val="single" w:sz="4" w:space="0" w:color="auto"/>
            </w:tcBorders>
            <w:noWrap/>
            <w:vAlign w:val="bottom"/>
            <w:hideMark/>
          </w:tcPr>
          <w:p w14:paraId="746C2391"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192" w:type="dxa"/>
            <w:tcBorders>
              <w:top w:val="nil"/>
              <w:left w:val="nil"/>
              <w:bottom w:val="single" w:sz="4" w:space="0" w:color="auto"/>
              <w:right w:val="single" w:sz="4" w:space="0" w:color="auto"/>
            </w:tcBorders>
            <w:noWrap/>
            <w:vAlign w:val="bottom"/>
            <w:hideMark/>
          </w:tcPr>
          <w:p w14:paraId="739D65E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20.999.956</w:t>
            </w:r>
          </w:p>
        </w:tc>
        <w:tc>
          <w:tcPr>
            <w:tcW w:w="2126" w:type="dxa"/>
            <w:tcBorders>
              <w:top w:val="nil"/>
              <w:left w:val="nil"/>
              <w:bottom w:val="single" w:sz="4" w:space="0" w:color="auto"/>
              <w:right w:val="single" w:sz="4" w:space="0" w:color="auto"/>
            </w:tcBorders>
            <w:noWrap/>
            <w:vAlign w:val="bottom"/>
            <w:hideMark/>
          </w:tcPr>
          <w:p w14:paraId="785AAB2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965C4F9"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20.999.956</w:t>
            </w:r>
          </w:p>
        </w:tc>
      </w:tr>
      <w:tr w:rsidR="0033037F" w14:paraId="151FB527" w14:textId="77777777" w:rsidTr="0033037F">
        <w:trPr>
          <w:trHeight w:val="414"/>
        </w:trPr>
        <w:tc>
          <w:tcPr>
            <w:tcW w:w="2960" w:type="dxa"/>
            <w:tcBorders>
              <w:top w:val="nil"/>
              <w:left w:val="single" w:sz="4" w:space="0" w:color="auto"/>
              <w:bottom w:val="single" w:sz="4" w:space="0" w:color="auto"/>
              <w:right w:val="single" w:sz="4" w:space="0" w:color="auto"/>
            </w:tcBorders>
            <w:noWrap/>
            <w:vAlign w:val="bottom"/>
            <w:hideMark/>
          </w:tcPr>
          <w:p w14:paraId="6E5ECD50"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192" w:type="dxa"/>
            <w:tcBorders>
              <w:top w:val="nil"/>
              <w:left w:val="nil"/>
              <w:bottom w:val="single" w:sz="4" w:space="0" w:color="auto"/>
              <w:right w:val="single" w:sz="4" w:space="0" w:color="auto"/>
            </w:tcBorders>
            <w:noWrap/>
            <w:vAlign w:val="bottom"/>
            <w:hideMark/>
          </w:tcPr>
          <w:p w14:paraId="45F75EB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67.755.300</w:t>
            </w:r>
          </w:p>
        </w:tc>
        <w:tc>
          <w:tcPr>
            <w:tcW w:w="2126" w:type="dxa"/>
            <w:tcBorders>
              <w:top w:val="nil"/>
              <w:left w:val="nil"/>
              <w:bottom w:val="single" w:sz="4" w:space="0" w:color="auto"/>
              <w:right w:val="single" w:sz="4" w:space="0" w:color="auto"/>
            </w:tcBorders>
            <w:noWrap/>
            <w:vAlign w:val="bottom"/>
            <w:hideMark/>
          </w:tcPr>
          <w:p w14:paraId="3DFA490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5D19A7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67.755.300</w:t>
            </w:r>
          </w:p>
        </w:tc>
      </w:tr>
      <w:tr w:rsidR="0033037F" w14:paraId="6B7DBF7C" w14:textId="77777777" w:rsidTr="0033037F">
        <w:trPr>
          <w:trHeight w:val="380"/>
        </w:trPr>
        <w:tc>
          <w:tcPr>
            <w:tcW w:w="2960" w:type="dxa"/>
            <w:tcBorders>
              <w:top w:val="nil"/>
              <w:left w:val="single" w:sz="4" w:space="0" w:color="auto"/>
              <w:bottom w:val="single" w:sz="4" w:space="0" w:color="auto"/>
              <w:right w:val="single" w:sz="4" w:space="0" w:color="auto"/>
            </w:tcBorders>
            <w:noWrap/>
            <w:vAlign w:val="bottom"/>
            <w:hideMark/>
          </w:tcPr>
          <w:p w14:paraId="7C755E8C"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Beruházások, felújítások</w:t>
            </w:r>
          </w:p>
        </w:tc>
        <w:tc>
          <w:tcPr>
            <w:tcW w:w="2192" w:type="dxa"/>
            <w:tcBorders>
              <w:top w:val="nil"/>
              <w:left w:val="nil"/>
              <w:bottom w:val="single" w:sz="4" w:space="0" w:color="auto"/>
              <w:right w:val="single" w:sz="4" w:space="0" w:color="auto"/>
            </w:tcBorders>
            <w:noWrap/>
            <w:vAlign w:val="bottom"/>
            <w:hideMark/>
          </w:tcPr>
          <w:p w14:paraId="3DB928B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35B675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499632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6899EC31" w14:textId="77777777" w:rsidTr="0033037F">
        <w:trPr>
          <w:trHeight w:val="414"/>
        </w:trPr>
        <w:tc>
          <w:tcPr>
            <w:tcW w:w="2960" w:type="dxa"/>
            <w:tcBorders>
              <w:top w:val="nil"/>
              <w:left w:val="single" w:sz="4" w:space="0" w:color="auto"/>
              <w:bottom w:val="single" w:sz="4" w:space="0" w:color="auto"/>
              <w:right w:val="single" w:sz="4" w:space="0" w:color="auto"/>
            </w:tcBorders>
            <w:noWrap/>
            <w:vAlign w:val="bottom"/>
            <w:hideMark/>
          </w:tcPr>
          <w:p w14:paraId="5227DC9A"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Általános tartalék</w:t>
            </w:r>
          </w:p>
        </w:tc>
        <w:tc>
          <w:tcPr>
            <w:tcW w:w="2192" w:type="dxa"/>
            <w:tcBorders>
              <w:top w:val="nil"/>
              <w:left w:val="nil"/>
              <w:bottom w:val="single" w:sz="4" w:space="0" w:color="auto"/>
              <w:right w:val="single" w:sz="4" w:space="0" w:color="auto"/>
            </w:tcBorders>
            <w:noWrap/>
            <w:vAlign w:val="bottom"/>
            <w:hideMark/>
          </w:tcPr>
          <w:p w14:paraId="5E46D0C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5DC4D53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3344DC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7F3D6FDF" w14:textId="77777777" w:rsidTr="0033037F">
        <w:trPr>
          <w:trHeight w:val="432"/>
        </w:trPr>
        <w:tc>
          <w:tcPr>
            <w:tcW w:w="2960"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4070683"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KÖLTSÉGVETÉSI KIADÁSOK</w:t>
            </w:r>
          </w:p>
        </w:tc>
        <w:tc>
          <w:tcPr>
            <w:tcW w:w="2192" w:type="dxa"/>
            <w:tcBorders>
              <w:top w:val="nil"/>
              <w:left w:val="nil"/>
              <w:bottom w:val="single" w:sz="4" w:space="0" w:color="auto"/>
              <w:right w:val="single" w:sz="4" w:space="0" w:color="auto"/>
            </w:tcBorders>
            <w:shd w:val="clear" w:color="auto" w:fill="F2F2F2" w:themeFill="background1" w:themeFillShade="F2"/>
            <w:noWrap/>
            <w:vAlign w:val="bottom"/>
            <w:hideMark/>
          </w:tcPr>
          <w:p w14:paraId="4C91D350"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276.722.656</w:t>
            </w:r>
          </w:p>
        </w:tc>
        <w:tc>
          <w:tcPr>
            <w:tcW w:w="2126" w:type="dxa"/>
            <w:tcBorders>
              <w:top w:val="nil"/>
              <w:left w:val="nil"/>
              <w:bottom w:val="single" w:sz="4" w:space="0" w:color="auto"/>
              <w:right w:val="single" w:sz="4" w:space="0" w:color="auto"/>
            </w:tcBorders>
            <w:shd w:val="clear" w:color="auto" w:fill="F2F2F2" w:themeFill="background1" w:themeFillShade="F2"/>
            <w:noWrap/>
            <w:vAlign w:val="bottom"/>
            <w:hideMark/>
          </w:tcPr>
          <w:p w14:paraId="11648A7E"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themeFill="background1" w:themeFillShade="F2"/>
            <w:noWrap/>
            <w:vAlign w:val="bottom"/>
            <w:hideMark/>
          </w:tcPr>
          <w:p w14:paraId="5921C2D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276.722.656</w:t>
            </w:r>
          </w:p>
        </w:tc>
      </w:tr>
      <w:tr w:rsidR="0033037F" w14:paraId="6D1B8F32" w14:textId="77777777" w:rsidTr="0033037F">
        <w:trPr>
          <w:trHeight w:val="300"/>
        </w:trPr>
        <w:tc>
          <w:tcPr>
            <w:tcW w:w="2960" w:type="dxa"/>
            <w:tcBorders>
              <w:top w:val="nil"/>
              <w:left w:val="single" w:sz="4" w:space="0" w:color="auto"/>
              <w:bottom w:val="single" w:sz="4" w:space="0" w:color="auto"/>
              <w:right w:val="single" w:sz="4" w:space="0" w:color="auto"/>
            </w:tcBorders>
            <w:noWrap/>
            <w:vAlign w:val="bottom"/>
            <w:hideMark/>
          </w:tcPr>
          <w:p w14:paraId="72F9CB2D"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 intézmények</w:t>
            </w:r>
          </w:p>
        </w:tc>
        <w:tc>
          <w:tcPr>
            <w:tcW w:w="2192" w:type="dxa"/>
            <w:tcBorders>
              <w:top w:val="nil"/>
              <w:left w:val="nil"/>
              <w:bottom w:val="single" w:sz="4" w:space="0" w:color="auto"/>
              <w:right w:val="single" w:sz="4" w:space="0" w:color="auto"/>
            </w:tcBorders>
            <w:noWrap/>
            <w:vAlign w:val="bottom"/>
            <w:hideMark/>
          </w:tcPr>
          <w:p w14:paraId="73F45F4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1.000.453.720</w:t>
            </w:r>
          </w:p>
        </w:tc>
        <w:tc>
          <w:tcPr>
            <w:tcW w:w="2126" w:type="dxa"/>
            <w:tcBorders>
              <w:top w:val="nil"/>
              <w:left w:val="nil"/>
              <w:bottom w:val="single" w:sz="4" w:space="0" w:color="auto"/>
              <w:right w:val="single" w:sz="4" w:space="0" w:color="auto"/>
            </w:tcBorders>
            <w:noWrap/>
            <w:vAlign w:val="bottom"/>
            <w:hideMark/>
          </w:tcPr>
          <w:p w14:paraId="00F81039"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792FDB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1.000.453.720</w:t>
            </w:r>
          </w:p>
        </w:tc>
      </w:tr>
      <w:tr w:rsidR="0033037F" w14:paraId="2E04D0B8" w14:textId="77777777" w:rsidTr="0033037F">
        <w:trPr>
          <w:trHeight w:val="420"/>
        </w:trPr>
        <w:tc>
          <w:tcPr>
            <w:tcW w:w="2960" w:type="dxa"/>
            <w:tcBorders>
              <w:top w:val="nil"/>
              <w:left w:val="single" w:sz="4" w:space="0" w:color="auto"/>
              <w:bottom w:val="single" w:sz="4" w:space="0" w:color="auto"/>
              <w:right w:val="single" w:sz="4" w:space="0" w:color="auto"/>
            </w:tcBorders>
            <w:noWrap/>
            <w:vAlign w:val="bottom"/>
            <w:hideMark/>
          </w:tcPr>
          <w:p w14:paraId="55516E4B"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lastRenderedPageBreak/>
              <w:t>Finanszírozási kiadások Iskolák</w:t>
            </w:r>
          </w:p>
        </w:tc>
        <w:tc>
          <w:tcPr>
            <w:tcW w:w="2192" w:type="dxa"/>
            <w:tcBorders>
              <w:top w:val="nil"/>
              <w:left w:val="nil"/>
              <w:bottom w:val="single" w:sz="4" w:space="0" w:color="auto"/>
              <w:right w:val="single" w:sz="4" w:space="0" w:color="auto"/>
            </w:tcBorders>
            <w:noWrap/>
            <w:vAlign w:val="bottom"/>
            <w:hideMark/>
          </w:tcPr>
          <w:p w14:paraId="30011A4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559BFE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F23DDE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78428BAD" w14:textId="77777777" w:rsidTr="0033037F">
        <w:trPr>
          <w:trHeight w:val="300"/>
        </w:trPr>
        <w:tc>
          <w:tcPr>
            <w:tcW w:w="2960" w:type="dxa"/>
            <w:tcBorders>
              <w:top w:val="nil"/>
              <w:left w:val="single" w:sz="4" w:space="0" w:color="auto"/>
              <w:bottom w:val="single" w:sz="4" w:space="0" w:color="auto"/>
              <w:right w:val="single" w:sz="4" w:space="0" w:color="auto"/>
            </w:tcBorders>
            <w:noWrap/>
            <w:vAlign w:val="bottom"/>
            <w:hideMark/>
          </w:tcPr>
          <w:p w14:paraId="09C7E89B"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FINANSZÍROZÁSI KIADÁSOK ÖSSZESEN</w:t>
            </w:r>
          </w:p>
        </w:tc>
        <w:tc>
          <w:tcPr>
            <w:tcW w:w="2192" w:type="dxa"/>
            <w:tcBorders>
              <w:top w:val="nil"/>
              <w:left w:val="nil"/>
              <w:bottom w:val="single" w:sz="4" w:space="0" w:color="auto"/>
              <w:right w:val="single" w:sz="4" w:space="0" w:color="auto"/>
            </w:tcBorders>
            <w:noWrap/>
            <w:vAlign w:val="bottom"/>
            <w:hideMark/>
          </w:tcPr>
          <w:p w14:paraId="553339E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1.000.453.720</w:t>
            </w:r>
          </w:p>
        </w:tc>
        <w:tc>
          <w:tcPr>
            <w:tcW w:w="2126" w:type="dxa"/>
            <w:tcBorders>
              <w:top w:val="nil"/>
              <w:left w:val="nil"/>
              <w:bottom w:val="single" w:sz="4" w:space="0" w:color="auto"/>
              <w:right w:val="single" w:sz="4" w:space="0" w:color="auto"/>
            </w:tcBorders>
            <w:noWrap/>
            <w:vAlign w:val="bottom"/>
            <w:hideMark/>
          </w:tcPr>
          <w:p w14:paraId="29414A9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8D6ECA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1.000.453.720</w:t>
            </w:r>
          </w:p>
        </w:tc>
      </w:tr>
      <w:tr w:rsidR="0033037F" w14:paraId="0515EEDE" w14:textId="77777777" w:rsidTr="0033037F">
        <w:trPr>
          <w:trHeight w:val="388"/>
        </w:trPr>
        <w:tc>
          <w:tcPr>
            <w:tcW w:w="2960" w:type="dxa"/>
            <w:tcBorders>
              <w:top w:val="nil"/>
              <w:left w:val="single" w:sz="4" w:space="0" w:color="auto"/>
              <w:bottom w:val="single" w:sz="4" w:space="0" w:color="auto"/>
              <w:right w:val="single" w:sz="4" w:space="0" w:color="auto"/>
            </w:tcBorders>
            <w:shd w:val="clear" w:color="auto" w:fill="F2F2F2"/>
            <w:noWrap/>
            <w:vAlign w:val="bottom"/>
            <w:hideMark/>
          </w:tcPr>
          <w:p w14:paraId="2BF55C18"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192" w:type="dxa"/>
            <w:tcBorders>
              <w:top w:val="nil"/>
              <w:left w:val="nil"/>
              <w:bottom w:val="single" w:sz="4" w:space="0" w:color="auto"/>
              <w:right w:val="single" w:sz="4" w:space="0" w:color="auto"/>
            </w:tcBorders>
            <w:shd w:val="clear" w:color="auto" w:fill="F2F2F2"/>
            <w:noWrap/>
            <w:vAlign w:val="bottom"/>
            <w:hideMark/>
          </w:tcPr>
          <w:p w14:paraId="7EDABC16"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F2F2F2"/>
            <w:noWrap/>
            <w:vAlign w:val="bottom"/>
            <w:hideMark/>
          </w:tcPr>
          <w:p w14:paraId="286EA11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37279899"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r>
      <w:tr w:rsidR="0033037F" w14:paraId="416CF9AA" w14:textId="77777777" w:rsidTr="0033037F">
        <w:trPr>
          <w:trHeight w:val="300"/>
        </w:trPr>
        <w:tc>
          <w:tcPr>
            <w:tcW w:w="296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3579607D" w14:textId="77777777" w:rsidR="0033037F" w:rsidRDefault="0033037F">
            <w:pPr>
              <w:spacing w:after="0" w:line="240" w:lineRule="auto"/>
              <w:rPr>
                <w:rFonts w:ascii="Calibri" w:eastAsia="Times New Roman" w:hAnsi="Calibri" w:cs="Calibri"/>
                <w:b/>
                <w:bCs/>
                <w:sz w:val="20"/>
                <w:szCs w:val="20"/>
                <w:lang w:eastAsia="hu-HU"/>
              </w:rPr>
            </w:pPr>
            <w:r>
              <w:rPr>
                <w:rFonts w:ascii="Calibri" w:eastAsia="Times New Roman" w:hAnsi="Calibri" w:cs="Calibri"/>
                <w:b/>
                <w:bCs/>
                <w:sz w:val="20"/>
                <w:szCs w:val="20"/>
                <w:lang w:eastAsia="hu-HU"/>
              </w:rPr>
              <w:t>BEVÉTELEK</w:t>
            </w:r>
          </w:p>
        </w:tc>
        <w:tc>
          <w:tcPr>
            <w:tcW w:w="2192" w:type="dxa"/>
            <w:tcBorders>
              <w:top w:val="nil"/>
              <w:left w:val="nil"/>
              <w:bottom w:val="single" w:sz="4" w:space="0" w:color="auto"/>
              <w:right w:val="single" w:sz="4" w:space="0" w:color="auto"/>
            </w:tcBorders>
            <w:shd w:val="clear" w:color="auto" w:fill="D9D9D9" w:themeFill="background1" w:themeFillShade="D9"/>
            <w:noWrap/>
            <w:vAlign w:val="bottom"/>
          </w:tcPr>
          <w:p w14:paraId="0C776AD6" w14:textId="77777777" w:rsidR="0033037F" w:rsidRDefault="0033037F">
            <w:pPr>
              <w:spacing w:after="0" w:line="240" w:lineRule="auto"/>
              <w:jc w:val="center"/>
              <w:rPr>
                <w:rFonts w:ascii="Calibri" w:eastAsia="Times New Roman" w:hAnsi="Calibri" w:cs="Calibri"/>
                <w:b/>
                <w:bCs/>
                <w:sz w:val="20"/>
                <w:szCs w:val="20"/>
                <w:lang w:eastAsia="hu-HU"/>
              </w:rPr>
            </w:pPr>
          </w:p>
        </w:tc>
        <w:tc>
          <w:tcPr>
            <w:tcW w:w="2126" w:type="dxa"/>
            <w:tcBorders>
              <w:top w:val="nil"/>
              <w:left w:val="nil"/>
              <w:bottom w:val="single" w:sz="4" w:space="0" w:color="auto"/>
              <w:right w:val="single" w:sz="4" w:space="0" w:color="auto"/>
            </w:tcBorders>
            <w:shd w:val="clear" w:color="auto" w:fill="D9D9D9" w:themeFill="background1" w:themeFillShade="D9"/>
            <w:noWrap/>
            <w:vAlign w:val="bottom"/>
          </w:tcPr>
          <w:p w14:paraId="5C4A5BE6" w14:textId="77777777" w:rsidR="0033037F" w:rsidRDefault="0033037F">
            <w:pPr>
              <w:spacing w:after="0" w:line="240" w:lineRule="auto"/>
              <w:jc w:val="center"/>
              <w:rPr>
                <w:rFonts w:ascii="Calibri" w:eastAsia="Times New Roman" w:hAnsi="Calibri" w:cs="Calibri"/>
                <w:b/>
                <w:bCs/>
                <w:sz w:val="20"/>
                <w:szCs w:val="20"/>
                <w:lang w:eastAsia="hu-HU"/>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bottom"/>
          </w:tcPr>
          <w:p w14:paraId="2BB45D53" w14:textId="77777777" w:rsidR="0033037F" w:rsidRDefault="0033037F">
            <w:pPr>
              <w:spacing w:after="0" w:line="240" w:lineRule="auto"/>
              <w:jc w:val="center"/>
              <w:rPr>
                <w:rFonts w:ascii="Calibri" w:eastAsia="Times New Roman" w:hAnsi="Calibri" w:cs="Calibri"/>
                <w:b/>
                <w:bCs/>
                <w:sz w:val="20"/>
                <w:szCs w:val="20"/>
                <w:lang w:eastAsia="hu-HU"/>
              </w:rPr>
            </w:pPr>
          </w:p>
        </w:tc>
      </w:tr>
      <w:tr w:rsidR="0033037F" w14:paraId="58E8BBC6" w14:textId="77777777" w:rsidTr="0033037F">
        <w:trPr>
          <w:trHeight w:val="540"/>
        </w:trPr>
        <w:tc>
          <w:tcPr>
            <w:tcW w:w="2960" w:type="dxa"/>
            <w:tcBorders>
              <w:top w:val="nil"/>
              <w:left w:val="single" w:sz="4" w:space="0" w:color="auto"/>
              <w:bottom w:val="single" w:sz="4" w:space="0" w:color="auto"/>
              <w:right w:val="single" w:sz="4" w:space="0" w:color="auto"/>
            </w:tcBorders>
            <w:noWrap/>
            <w:vAlign w:val="bottom"/>
            <w:hideMark/>
          </w:tcPr>
          <w:p w14:paraId="0CB2D7A9"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color w:val="000000"/>
                <w:sz w:val="20"/>
                <w:szCs w:val="20"/>
                <w:lang w:eastAsia="hu-HU"/>
              </w:rPr>
              <w:t>Egyéb mc. Támogatás bevétele BM működési támogatás</w:t>
            </w:r>
          </w:p>
        </w:tc>
        <w:tc>
          <w:tcPr>
            <w:tcW w:w="2192" w:type="dxa"/>
            <w:tcBorders>
              <w:top w:val="nil"/>
              <w:left w:val="nil"/>
              <w:bottom w:val="single" w:sz="4" w:space="0" w:color="auto"/>
              <w:right w:val="single" w:sz="4" w:space="0" w:color="auto"/>
            </w:tcBorders>
            <w:noWrap/>
            <w:vAlign w:val="bottom"/>
            <w:hideMark/>
          </w:tcPr>
          <w:p w14:paraId="44082D42"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679 400 000</w:t>
            </w:r>
          </w:p>
        </w:tc>
        <w:tc>
          <w:tcPr>
            <w:tcW w:w="2126" w:type="dxa"/>
            <w:tcBorders>
              <w:top w:val="nil"/>
              <w:left w:val="nil"/>
              <w:bottom w:val="single" w:sz="4" w:space="0" w:color="auto"/>
              <w:right w:val="single" w:sz="4" w:space="0" w:color="auto"/>
            </w:tcBorders>
            <w:noWrap/>
            <w:vAlign w:val="bottom"/>
            <w:hideMark/>
          </w:tcPr>
          <w:p w14:paraId="08BD2608"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B68A758"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679 400 000</w:t>
            </w:r>
          </w:p>
        </w:tc>
      </w:tr>
      <w:tr w:rsidR="0033037F" w14:paraId="2EFB5E98" w14:textId="77777777" w:rsidTr="0033037F">
        <w:trPr>
          <w:trHeight w:val="548"/>
        </w:trPr>
        <w:tc>
          <w:tcPr>
            <w:tcW w:w="2960" w:type="dxa"/>
            <w:tcBorders>
              <w:top w:val="nil"/>
              <w:left w:val="single" w:sz="4" w:space="0" w:color="auto"/>
              <w:bottom w:val="single" w:sz="4" w:space="0" w:color="auto"/>
              <w:right w:val="single" w:sz="4" w:space="0" w:color="auto"/>
            </w:tcBorders>
            <w:noWrap/>
            <w:vAlign w:val="bottom"/>
            <w:hideMark/>
          </w:tcPr>
          <w:p w14:paraId="73788ED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Köznevelési Intézmények normatív támogatása 2026.év</w:t>
            </w:r>
          </w:p>
        </w:tc>
        <w:tc>
          <w:tcPr>
            <w:tcW w:w="2192" w:type="dxa"/>
            <w:tcBorders>
              <w:top w:val="nil"/>
              <w:left w:val="nil"/>
              <w:bottom w:val="single" w:sz="4" w:space="0" w:color="auto"/>
              <w:right w:val="single" w:sz="4" w:space="0" w:color="auto"/>
            </w:tcBorders>
            <w:noWrap/>
            <w:vAlign w:val="bottom"/>
            <w:hideMark/>
          </w:tcPr>
          <w:p w14:paraId="730CCE3B"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597.776.376</w:t>
            </w:r>
          </w:p>
        </w:tc>
        <w:tc>
          <w:tcPr>
            <w:tcW w:w="2126" w:type="dxa"/>
            <w:tcBorders>
              <w:top w:val="nil"/>
              <w:left w:val="nil"/>
              <w:bottom w:val="single" w:sz="4" w:space="0" w:color="auto"/>
              <w:right w:val="single" w:sz="4" w:space="0" w:color="auto"/>
            </w:tcBorders>
            <w:noWrap/>
            <w:vAlign w:val="bottom"/>
          </w:tcPr>
          <w:p w14:paraId="4D509EA6" w14:textId="77777777" w:rsidR="0033037F" w:rsidRDefault="0033037F">
            <w:pPr>
              <w:spacing w:after="0" w:line="240" w:lineRule="auto"/>
              <w:jc w:val="center"/>
              <w:rPr>
                <w:rFonts w:ascii="Calibri" w:eastAsia="Times New Roman" w:hAnsi="Calibri" w:cs="Calibri"/>
                <w:sz w:val="20"/>
                <w:szCs w:val="20"/>
                <w:lang w:eastAsia="hu-HU"/>
              </w:rPr>
            </w:pPr>
          </w:p>
        </w:tc>
        <w:tc>
          <w:tcPr>
            <w:tcW w:w="2410" w:type="dxa"/>
            <w:tcBorders>
              <w:top w:val="nil"/>
              <w:left w:val="nil"/>
              <w:bottom w:val="single" w:sz="4" w:space="0" w:color="auto"/>
              <w:right w:val="single" w:sz="4" w:space="0" w:color="auto"/>
            </w:tcBorders>
            <w:noWrap/>
            <w:vAlign w:val="bottom"/>
            <w:hideMark/>
          </w:tcPr>
          <w:p w14:paraId="28E331D4" w14:textId="77777777" w:rsidR="0033037F" w:rsidRDefault="0033037F">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597.776.376</w:t>
            </w:r>
          </w:p>
        </w:tc>
      </w:tr>
      <w:tr w:rsidR="0033037F" w14:paraId="5A79604F" w14:textId="77777777" w:rsidTr="0033037F">
        <w:trPr>
          <w:trHeight w:val="428"/>
        </w:trPr>
        <w:tc>
          <w:tcPr>
            <w:tcW w:w="29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C68B91E"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KÖLTSÉGVETÉSI BEVÉTELEK</w:t>
            </w:r>
          </w:p>
        </w:tc>
        <w:tc>
          <w:tcPr>
            <w:tcW w:w="2192" w:type="dxa"/>
            <w:tcBorders>
              <w:top w:val="nil"/>
              <w:left w:val="nil"/>
              <w:bottom w:val="single" w:sz="4" w:space="0" w:color="auto"/>
              <w:right w:val="single" w:sz="4" w:space="0" w:color="auto"/>
            </w:tcBorders>
            <w:shd w:val="clear" w:color="auto" w:fill="D9D9D9" w:themeFill="background1" w:themeFillShade="D9"/>
            <w:noWrap/>
            <w:vAlign w:val="bottom"/>
            <w:hideMark/>
          </w:tcPr>
          <w:p w14:paraId="5892B42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D9D9D9" w:themeFill="background1" w:themeFillShade="D9"/>
            <w:noWrap/>
            <w:vAlign w:val="bottom"/>
            <w:hideMark/>
          </w:tcPr>
          <w:p w14:paraId="0F16FAFE"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D9D9D9" w:themeFill="background1" w:themeFillShade="D9"/>
            <w:noWrap/>
            <w:vAlign w:val="bottom"/>
            <w:hideMark/>
          </w:tcPr>
          <w:p w14:paraId="7FA7912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r>
      <w:tr w:rsidR="0033037F" w14:paraId="0F8FC4C2" w14:textId="77777777" w:rsidTr="0033037F">
        <w:trPr>
          <w:trHeight w:val="418"/>
        </w:trPr>
        <w:tc>
          <w:tcPr>
            <w:tcW w:w="29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7D70A55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Költségvetési bevételekből</w:t>
            </w:r>
          </w:p>
          <w:p w14:paraId="6584EBD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bevételek összesen</w:t>
            </w:r>
          </w:p>
        </w:tc>
        <w:tc>
          <w:tcPr>
            <w:tcW w:w="2192" w:type="dxa"/>
            <w:tcBorders>
              <w:top w:val="nil"/>
              <w:left w:val="nil"/>
              <w:bottom w:val="single" w:sz="4" w:space="0" w:color="auto"/>
              <w:right w:val="single" w:sz="4" w:space="0" w:color="auto"/>
            </w:tcBorders>
            <w:shd w:val="clear" w:color="auto" w:fill="FFFFFF" w:themeFill="background1"/>
            <w:noWrap/>
            <w:vAlign w:val="bottom"/>
            <w:hideMark/>
          </w:tcPr>
          <w:p w14:paraId="3758E8D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1.000.453.720</w:t>
            </w:r>
          </w:p>
        </w:tc>
        <w:tc>
          <w:tcPr>
            <w:tcW w:w="2126" w:type="dxa"/>
            <w:tcBorders>
              <w:top w:val="nil"/>
              <w:left w:val="nil"/>
              <w:bottom w:val="single" w:sz="4" w:space="0" w:color="auto"/>
              <w:right w:val="single" w:sz="4" w:space="0" w:color="auto"/>
            </w:tcBorders>
            <w:shd w:val="clear" w:color="auto" w:fill="FFFFFF" w:themeFill="background1"/>
            <w:noWrap/>
            <w:vAlign w:val="bottom"/>
            <w:hideMark/>
          </w:tcPr>
          <w:p w14:paraId="68E8F6A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FFFFF" w:themeFill="background1"/>
            <w:noWrap/>
            <w:vAlign w:val="bottom"/>
            <w:hideMark/>
          </w:tcPr>
          <w:p w14:paraId="4C4BB5F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1.000.453.700</w:t>
            </w:r>
          </w:p>
        </w:tc>
      </w:tr>
      <w:tr w:rsidR="0033037F" w14:paraId="32B43926" w14:textId="77777777" w:rsidTr="0033037F">
        <w:trPr>
          <w:trHeight w:val="565"/>
        </w:trPr>
        <w:tc>
          <w:tcPr>
            <w:tcW w:w="2960" w:type="dxa"/>
            <w:tcBorders>
              <w:top w:val="nil"/>
              <w:left w:val="single" w:sz="4" w:space="0" w:color="auto"/>
              <w:bottom w:val="single" w:sz="4" w:space="0" w:color="auto"/>
              <w:right w:val="single" w:sz="4" w:space="0" w:color="auto"/>
            </w:tcBorders>
            <w:shd w:val="clear" w:color="auto" w:fill="F2F2F2"/>
            <w:noWrap/>
            <w:vAlign w:val="bottom"/>
            <w:hideMark/>
          </w:tcPr>
          <w:p w14:paraId="197BF0A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MINDÖSSZESEN</w:t>
            </w:r>
          </w:p>
        </w:tc>
        <w:tc>
          <w:tcPr>
            <w:tcW w:w="2192" w:type="dxa"/>
            <w:tcBorders>
              <w:top w:val="nil"/>
              <w:left w:val="nil"/>
              <w:bottom w:val="single" w:sz="4" w:space="0" w:color="auto"/>
              <w:right w:val="single" w:sz="4" w:space="0" w:color="auto"/>
            </w:tcBorders>
            <w:shd w:val="clear" w:color="auto" w:fill="F2F2F2"/>
            <w:noWrap/>
            <w:vAlign w:val="bottom"/>
            <w:hideMark/>
          </w:tcPr>
          <w:p w14:paraId="42CC6759"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F2F2F2"/>
            <w:noWrap/>
            <w:vAlign w:val="bottom"/>
            <w:hideMark/>
          </w:tcPr>
          <w:p w14:paraId="36A5A703"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0C04E43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r>
    </w:tbl>
    <w:p w14:paraId="4701237F" w14:textId="77777777" w:rsidR="0033037F" w:rsidRDefault="0033037F" w:rsidP="0033037F">
      <w:pPr>
        <w:spacing w:line="240" w:lineRule="auto"/>
        <w:jc w:val="center"/>
        <w:rPr>
          <w:rFonts w:asciiTheme="majorHAnsi" w:hAnsiTheme="majorHAnsi" w:cstheme="majorHAnsi"/>
          <w:b/>
          <w:sz w:val="24"/>
          <w:szCs w:val="24"/>
          <w:u w:val="single"/>
        </w:rPr>
      </w:pPr>
    </w:p>
    <w:p w14:paraId="11BB9DED" w14:textId="07DF641A"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Magyarországi Romák Országos Önkormányzatának Hivatala</w:t>
      </w:r>
    </w:p>
    <w:p w14:paraId="200FF072" w14:textId="77777777" w:rsidR="0033037F" w:rsidRDefault="0033037F" w:rsidP="0033037F">
      <w:pPr>
        <w:spacing w:line="240" w:lineRule="auto"/>
        <w:rPr>
          <w:rFonts w:asciiTheme="majorHAnsi" w:hAnsiTheme="majorHAnsi" w:cstheme="majorHAnsi"/>
          <w:b/>
          <w:sz w:val="24"/>
          <w:szCs w:val="24"/>
          <w:u w:val="single"/>
        </w:rPr>
      </w:pPr>
    </w:p>
    <w:tbl>
      <w:tblPr>
        <w:tblW w:w="9640" w:type="dxa"/>
        <w:tblInd w:w="-431" w:type="dxa"/>
        <w:tblCellMar>
          <w:left w:w="70" w:type="dxa"/>
          <w:right w:w="70" w:type="dxa"/>
        </w:tblCellMar>
        <w:tblLook w:val="04A0" w:firstRow="1" w:lastRow="0" w:firstColumn="1" w:lastColumn="0" w:noHBand="0" w:noVBand="1"/>
      </w:tblPr>
      <w:tblGrid>
        <w:gridCol w:w="2978"/>
        <w:gridCol w:w="2126"/>
        <w:gridCol w:w="2126"/>
        <w:gridCol w:w="2410"/>
      </w:tblGrid>
      <w:tr w:rsidR="0033037F" w14:paraId="40ABA2DB" w14:textId="77777777" w:rsidTr="0033037F">
        <w:trPr>
          <w:trHeight w:val="825"/>
        </w:trPr>
        <w:tc>
          <w:tcPr>
            <w:tcW w:w="2978" w:type="dxa"/>
            <w:tcBorders>
              <w:top w:val="single" w:sz="4" w:space="0" w:color="auto"/>
              <w:left w:val="single" w:sz="4" w:space="0" w:color="auto"/>
              <w:bottom w:val="single" w:sz="4" w:space="0" w:color="auto"/>
              <w:right w:val="single" w:sz="4" w:space="0" w:color="auto"/>
            </w:tcBorders>
            <w:vAlign w:val="bottom"/>
            <w:hideMark/>
          </w:tcPr>
          <w:p w14:paraId="65A637F4"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Magyarországi Romák Országos Önkormányzatának Hivatala előirányzat megnevezése</w:t>
            </w:r>
          </w:p>
        </w:tc>
        <w:tc>
          <w:tcPr>
            <w:tcW w:w="2126" w:type="dxa"/>
            <w:tcBorders>
              <w:top w:val="single" w:sz="4" w:space="0" w:color="auto"/>
              <w:left w:val="nil"/>
              <w:bottom w:val="single" w:sz="4" w:space="0" w:color="auto"/>
              <w:right w:val="single" w:sz="4" w:space="0" w:color="auto"/>
            </w:tcBorders>
            <w:vAlign w:val="bottom"/>
            <w:hideMark/>
          </w:tcPr>
          <w:p w14:paraId="34BD87F3"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661535D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126" w:type="dxa"/>
            <w:tcBorders>
              <w:top w:val="single" w:sz="4" w:space="0" w:color="auto"/>
              <w:left w:val="nil"/>
              <w:bottom w:val="single" w:sz="4" w:space="0" w:color="auto"/>
              <w:right w:val="single" w:sz="4" w:space="0" w:color="auto"/>
            </w:tcBorders>
            <w:vAlign w:val="center"/>
            <w:hideMark/>
          </w:tcPr>
          <w:p w14:paraId="56C04F27"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410" w:type="dxa"/>
            <w:tcBorders>
              <w:top w:val="single" w:sz="4" w:space="0" w:color="auto"/>
              <w:left w:val="nil"/>
              <w:bottom w:val="single" w:sz="4" w:space="0" w:color="auto"/>
              <w:right w:val="single" w:sz="4" w:space="0" w:color="auto"/>
            </w:tcBorders>
            <w:vAlign w:val="center"/>
            <w:hideMark/>
          </w:tcPr>
          <w:p w14:paraId="2AA96C47"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2D565480"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139374D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126" w:type="dxa"/>
            <w:tcBorders>
              <w:top w:val="nil"/>
              <w:left w:val="nil"/>
              <w:bottom w:val="single" w:sz="4" w:space="0" w:color="auto"/>
              <w:right w:val="single" w:sz="4" w:space="0" w:color="auto"/>
            </w:tcBorders>
            <w:noWrap/>
            <w:vAlign w:val="bottom"/>
            <w:hideMark/>
          </w:tcPr>
          <w:p w14:paraId="1AF6284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129.508.400</w:t>
            </w:r>
          </w:p>
        </w:tc>
        <w:tc>
          <w:tcPr>
            <w:tcW w:w="2126" w:type="dxa"/>
            <w:tcBorders>
              <w:top w:val="nil"/>
              <w:left w:val="nil"/>
              <w:bottom w:val="single" w:sz="4" w:space="0" w:color="auto"/>
              <w:right w:val="single" w:sz="4" w:space="0" w:color="auto"/>
            </w:tcBorders>
            <w:noWrap/>
            <w:vAlign w:val="bottom"/>
            <w:hideMark/>
          </w:tcPr>
          <w:p w14:paraId="70752E1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A7749C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129.508.400</w:t>
            </w:r>
          </w:p>
        </w:tc>
      </w:tr>
      <w:tr w:rsidR="0033037F" w14:paraId="25E3C553"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63F479FB"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126" w:type="dxa"/>
            <w:tcBorders>
              <w:top w:val="nil"/>
              <w:left w:val="nil"/>
              <w:bottom w:val="single" w:sz="4" w:space="0" w:color="auto"/>
              <w:right w:val="single" w:sz="4" w:space="0" w:color="auto"/>
            </w:tcBorders>
            <w:noWrap/>
            <w:vAlign w:val="bottom"/>
            <w:hideMark/>
          </w:tcPr>
          <w:p w14:paraId="34F876F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20.229.716</w:t>
            </w:r>
          </w:p>
        </w:tc>
        <w:tc>
          <w:tcPr>
            <w:tcW w:w="2126" w:type="dxa"/>
            <w:tcBorders>
              <w:top w:val="nil"/>
              <w:left w:val="nil"/>
              <w:bottom w:val="single" w:sz="4" w:space="0" w:color="auto"/>
              <w:right w:val="single" w:sz="4" w:space="0" w:color="auto"/>
            </w:tcBorders>
            <w:noWrap/>
            <w:vAlign w:val="bottom"/>
            <w:hideMark/>
          </w:tcPr>
          <w:p w14:paraId="3AF8A0F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F442F9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20.229.716</w:t>
            </w:r>
          </w:p>
        </w:tc>
      </w:tr>
      <w:tr w:rsidR="0033037F" w14:paraId="13BE816C"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2E15BD9F"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126" w:type="dxa"/>
            <w:tcBorders>
              <w:top w:val="nil"/>
              <w:left w:val="nil"/>
              <w:bottom w:val="single" w:sz="4" w:space="0" w:color="auto"/>
              <w:right w:val="single" w:sz="4" w:space="0" w:color="auto"/>
            </w:tcBorders>
            <w:noWrap/>
            <w:vAlign w:val="bottom"/>
            <w:hideMark/>
          </w:tcPr>
          <w:p w14:paraId="131846A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30 634 428</w:t>
            </w:r>
          </w:p>
        </w:tc>
        <w:tc>
          <w:tcPr>
            <w:tcW w:w="2126" w:type="dxa"/>
            <w:tcBorders>
              <w:top w:val="nil"/>
              <w:left w:val="nil"/>
              <w:bottom w:val="single" w:sz="4" w:space="0" w:color="auto"/>
              <w:right w:val="single" w:sz="4" w:space="0" w:color="auto"/>
            </w:tcBorders>
            <w:noWrap/>
            <w:vAlign w:val="bottom"/>
            <w:hideMark/>
          </w:tcPr>
          <w:p w14:paraId="255ADF2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2A30231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30.634.428</w:t>
            </w:r>
          </w:p>
        </w:tc>
      </w:tr>
      <w:tr w:rsidR="0033037F" w14:paraId="75A9F856"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0E77C6D5"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126" w:type="dxa"/>
            <w:tcBorders>
              <w:top w:val="nil"/>
              <w:left w:val="nil"/>
              <w:bottom w:val="single" w:sz="4" w:space="0" w:color="auto"/>
              <w:right w:val="single" w:sz="4" w:space="0" w:color="auto"/>
            </w:tcBorders>
            <w:noWrap/>
            <w:vAlign w:val="bottom"/>
            <w:hideMark/>
          </w:tcPr>
          <w:p w14:paraId="24138E8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D4EBC6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709DED6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42DBE0A6"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14A8ECC3"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Általános működési célú tartalék</w:t>
            </w:r>
          </w:p>
        </w:tc>
        <w:tc>
          <w:tcPr>
            <w:tcW w:w="2126" w:type="dxa"/>
            <w:tcBorders>
              <w:top w:val="nil"/>
              <w:left w:val="nil"/>
              <w:bottom w:val="single" w:sz="4" w:space="0" w:color="auto"/>
              <w:right w:val="single" w:sz="4" w:space="0" w:color="auto"/>
            </w:tcBorders>
            <w:noWrap/>
            <w:vAlign w:val="bottom"/>
            <w:hideMark/>
          </w:tcPr>
          <w:p w14:paraId="2F8FAF8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26.104.800</w:t>
            </w:r>
          </w:p>
        </w:tc>
        <w:tc>
          <w:tcPr>
            <w:tcW w:w="2126" w:type="dxa"/>
            <w:tcBorders>
              <w:top w:val="nil"/>
              <w:left w:val="nil"/>
              <w:bottom w:val="single" w:sz="4" w:space="0" w:color="auto"/>
              <w:right w:val="single" w:sz="4" w:space="0" w:color="auto"/>
            </w:tcBorders>
            <w:noWrap/>
            <w:vAlign w:val="bottom"/>
          </w:tcPr>
          <w:p w14:paraId="364CF0AF" w14:textId="77777777" w:rsidR="0033037F" w:rsidRDefault="0033037F">
            <w:pPr>
              <w:spacing w:after="0" w:line="240" w:lineRule="auto"/>
              <w:jc w:val="center"/>
              <w:rPr>
                <w:rFonts w:ascii="Calibri" w:eastAsia="Times New Roman" w:hAnsi="Calibri" w:cs="Calibri"/>
                <w:color w:val="000000"/>
                <w:sz w:val="20"/>
                <w:szCs w:val="20"/>
                <w:lang w:eastAsia="hu-HU"/>
              </w:rPr>
            </w:pPr>
          </w:p>
        </w:tc>
        <w:tc>
          <w:tcPr>
            <w:tcW w:w="2410" w:type="dxa"/>
            <w:tcBorders>
              <w:top w:val="nil"/>
              <w:left w:val="nil"/>
              <w:bottom w:val="single" w:sz="4" w:space="0" w:color="auto"/>
              <w:right w:val="single" w:sz="4" w:space="0" w:color="auto"/>
            </w:tcBorders>
            <w:noWrap/>
            <w:vAlign w:val="bottom"/>
          </w:tcPr>
          <w:p w14:paraId="40BA36FA" w14:textId="77777777" w:rsidR="0033037F" w:rsidRDefault="0033037F">
            <w:pPr>
              <w:spacing w:after="0" w:line="240" w:lineRule="auto"/>
              <w:jc w:val="center"/>
              <w:rPr>
                <w:rFonts w:ascii="Calibri" w:eastAsia="Times New Roman" w:hAnsi="Calibri" w:cs="Calibri"/>
                <w:color w:val="000000"/>
                <w:sz w:val="20"/>
                <w:szCs w:val="20"/>
                <w:lang w:eastAsia="hu-HU"/>
              </w:rPr>
            </w:pPr>
          </w:p>
        </w:tc>
      </w:tr>
      <w:tr w:rsidR="0033037F" w14:paraId="036723F6" w14:textId="77777777" w:rsidTr="0033037F">
        <w:trPr>
          <w:trHeight w:val="300"/>
        </w:trPr>
        <w:tc>
          <w:tcPr>
            <w:tcW w:w="2978" w:type="dxa"/>
            <w:tcBorders>
              <w:top w:val="nil"/>
              <w:left w:val="single" w:sz="4" w:space="0" w:color="auto"/>
              <w:bottom w:val="single" w:sz="4" w:space="0" w:color="auto"/>
              <w:right w:val="single" w:sz="4" w:space="0" w:color="auto"/>
            </w:tcBorders>
            <w:shd w:val="clear" w:color="auto" w:fill="F2F2F2"/>
            <w:noWrap/>
            <w:vAlign w:val="bottom"/>
            <w:hideMark/>
          </w:tcPr>
          <w:p w14:paraId="08461341"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126" w:type="dxa"/>
            <w:tcBorders>
              <w:top w:val="nil"/>
              <w:left w:val="nil"/>
              <w:bottom w:val="single" w:sz="4" w:space="0" w:color="auto"/>
              <w:right w:val="single" w:sz="4" w:space="0" w:color="auto"/>
            </w:tcBorders>
            <w:shd w:val="clear" w:color="auto" w:fill="F2F2F2"/>
            <w:noWrap/>
            <w:vAlign w:val="bottom"/>
            <w:hideMark/>
          </w:tcPr>
          <w:p w14:paraId="035D5B04"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c>
          <w:tcPr>
            <w:tcW w:w="2126" w:type="dxa"/>
            <w:tcBorders>
              <w:top w:val="nil"/>
              <w:left w:val="nil"/>
              <w:bottom w:val="single" w:sz="4" w:space="0" w:color="auto"/>
              <w:right w:val="single" w:sz="4" w:space="0" w:color="auto"/>
            </w:tcBorders>
            <w:shd w:val="clear" w:color="auto" w:fill="F2F2F2"/>
            <w:noWrap/>
            <w:vAlign w:val="bottom"/>
            <w:hideMark/>
          </w:tcPr>
          <w:p w14:paraId="2F7956F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5D0AD3AB"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r>
      <w:tr w:rsidR="0033037F" w14:paraId="6D389501"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26DB49DE"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126" w:type="dxa"/>
            <w:tcBorders>
              <w:top w:val="nil"/>
              <w:left w:val="nil"/>
              <w:bottom w:val="single" w:sz="4" w:space="0" w:color="auto"/>
              <w:right w:val="single" w:sz="4" w:space="0" w:color="auto"/>
            </w:tcBorders>
            <w:noWrap/>
            <w:vAlign w:val="bottom"/>
            <w:hideMark/>
          </w:tcPr>
          <w:p w14:paraId="45AD97A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206.477.344</w:t>
            </w:r>
          </w:p>
        </w:tc>
        <w:tc>
          <w:tcPr>
            <w:tcW w:w="2126" w:type="dxa"/>
            <w:tcBorders>
              <w:top w:val="nil"/>
              <w:left w:val="nil"/>
              <w:bottom w:val="single" w:sz="4" w:space="0" w:color="auto"/>
              <w:right w:val="single" w:sz="4" w:space="0" w:color="auto"/>
            </w:tcBorders>
            <w:noWrap/>
            <w:vAlign w:val="bottom"/>
            <w:hideMark/>
          </w:tcPr>
          <w:p w14:paraId="2F9F988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18AAD84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206.477.344</w:t>
            </w:r>
          </w:p>
        </w:tc>
      </w:tr>
      <w:tr w:rsidR="0033037F" w14:paraId="359B8A2F" w14:textId="77777777" w:rsidTr="0033037F">
        <w:trPr>
          <w:trHeight w:val="300"/>
        </w:trPr>
        <w:tc>
          <w:tcPr>
            <w:tcW w:w="2978" w:type="dxa"/>
            <w:tcBorders>
              <w:top w:val="nil"/>
              <w:left w:val="single" w:sz="4" w:space="0" w:color="auto"/>
              <w:bottom w:val="single" w:sz="4" w:space="0" w:color="auto"/>
              <w:right w:val="single" w:sz="4" w:space="0" w:color="auto"/>
            </w:tcBorders>
            <w:noWrap/>
            <w:vAlign w:val="bottom"/>
            <w:hideMark/>
          </w:tcPr>
          <w:p w14:paraId="2EB92673"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126" w:type="dxa"/>
            <w:tcBorders>
              <w:top w:val="nil"/>
              <w:left w:val="nil"/>
              <w:bottom w:val="single" w:sz="4" w:space="0" w:color="auto"/>
              <w:right w:val="single" w:sz="4" w:space="0" w:color="auto"/>
            </w:tcBorders>
            <w:noWrap/>
            <w:vAlign w:val="bottom"/>
            <w:hideMark/>
          </w:tcPr>
          <w:p w14:paraId="1004D09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3C2D6E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04BBD9B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38ED3A25" w14:textId="77777777" w:rsidTr="0033037F">
        <w:trPr>
          <w:trHeight w:val="555"/>
        </w:trPr>
        <w:tc>
          <w:tcPr>
            <w:tcW w:w="2978" w:type="dxa"/>
            <w:tcBorders>
              <w:top w:val="nil"/>
              <w:left w:val="single" w:sz="4" w:space="0" w:color="auto"/>
              <w:bottom w:val="single" w:sz="4" w:space="0" w:color="auto"/>
              <w:right w:val="single" w:sz="4" w:space="0" w:color="auto"/>
            </w:tcBorders>
            <w:vAlign w:val="bottom"/>
            <w:hideMark/>
          </w:tcPr>
          <w:p w14:paraId="2B1104F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Szolgáltatások ellenértékének bevétele</w:t>
            </w:r>
          </w:p>
        </w:tc>
        <w:tc>
          <w:tcPr>
            <w:tcW w:w="2126" w:type="dxa"/>
            <w:tcBorders>
              <w:top w:val="nil"/>
              <w:left w:val="nil"/>
              <w:bottom w:val="single" w:sz="4" w:space="0" w:color="auto"/>
              <w:right w:val="single" w:sz="4" w:space="0" w:color="auto"/>
            </w:tcBorders>
            <w:noWrap/>
            <w:vAlign w:val="bottom"/>
            <w:hideMark/>
          </w:tcPr>
          <w:p w14:paraId="46F8540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FBCFB7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00708E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310B4A9D" w14:textId="77777777" w:rsidTr="0033037F">
        <w:trPr>
          <w:trHeight w:val="300"/>
        </w:trPr>
        <w:tc>
          <w:tcPr>
            <w:tcW w:w="2978" w:type="dxa"/>
            <w:tcBorders>
              <w:top w:val="nil"/>
              <w:left w:val="single" w:sz="4" w:space="0" w:color="auto"/>
              <w:bottom w:val="single" w:sz="4" w:space="0" w:color="auto"/>
              <w:right w:val="single" w:sz="4" w:space="0" w:color="auto"/>
            </w:tcBorders>
            <w:shd w:val="clear" w:color="auto" w:fill="F2F2F2"/>
            <w:noWrap/>
            <w:vAlign w:val="bottom"/>
            <w:hideMark/>
          </w:tcPr>
          <w:p w14:paraId="7FDC6811"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126" w:type="dxa"/>
            <w:tcBorders>
              <w:top w:val="nil"/>
              <w:left w:val="nil"/>
              <w:bottom w:val="single" w:sz="4" w:space="0" w:color="auto"/>
              <w:right w:val="single" w:sz="4" w:space="0" w:color="auto"/>
            </w:tcBorders>
            <w:shd w:val="clear" w:color="auto" w:fill="F2F2F2"/>
            <w:noWrap/>
            <w:vAlign w:val="bottom"/>
            <w:hideMark/>
          </w:tcPr>
          <w:p w14:paraId="4591511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c>
          <w:tcPr>
            <w:tcW w:w="2126" w:type="dxa"/>
            <w:tcBorders>
              <w:top w:val="nil"/>
              <w:left w:val="nil"/>
              <w:bottom w:val="single" w:sz="4" w:space="0" w:color="auto"/>
              <w:right w:val="single" w:sz="4" w:space="0" w:color="auto"/>
            </w:tcBorders>
            <w:shd w:val="clear" w:color="auto" w:fill="F2F2F2"/>
            <w:noWrap/>
            <w:vAlign w:val="bottom"/>
            <w:hideMark/>
          </w:tcPr>
          <w:p w14:paraId="72E064A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258316B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r>
    </w:tbl>
    <w:p w14:paraId="7CF55B21" w14:textId="77777777" w:rsidR="0033037F" w:rsidRDefault="0033037F" w:rsidP="0033037F">
      <w:pPr>
        <w:spacing w:line="240" w:lineRule="auto"/>
        <w:rPr>
          <w:rFonts w:asciiTheme="majorHAnsi" w:hAnsiTheme="majorHAnsi" w:cstheme="majorHAnsi"/>
          <w:b/>
          <w:sz w:val="24"/>
          <w:szCs w:val="24"/>
          <w:u w:val="single"/>
        </w:rPr>
      </w:pPr>
    </w:p>
    <w:p w14:paraId="193A449A" w14:textId="37BA30F8"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Foglalkoztatási Központ</w:t>
      </w:r>
    </w:p>
    <w:p w14:paraId="6B667A12" w14:textId="77777777" w:rsidR="0033037F" w:rsidRDefault="0033037F" w:rsidP="0033037F">
      <w:pPr>
        <w:spacing w:line="240" w:lineRule="auto"/>
        <w:rPr>
          <w:rFonts w:asciiTheme="majorHAnsi" w:hAnsiTheme="majorHAnsi" w:cstheme="majorHAnsi"/>
          <w:b/>
          <w:sz w:val="24"/>
          <w:szCs w:val="24"/>
          <w:u w:val="single"/>
        </w:rPr>
      </w:pPr>
    </w:p>
    <w:tbl>
      <w:tblPr>
        <w:tblW w:w="9498" w:type="dxa"/>
        <w:tblInd w:w="-572" w:type="dxa"/>
        <w:tblCellMar>
          <w:left w:w="70" w:type="dxa"/>
          <w:right w:w="70" w:type="dxa"/>
        </w:tblCellMar>
        <w:tblLook w:val="04A0" w:firstRow="1" w:lastRow="0" w:firstColumn="1" w:lastColumn="0" w:noHBand="0" w:noVBand="1"/>
      </w:tblPr>
      <w:tblGrid>
        <w:gridCol w:w="2835"/>
        <w:gridCol w:w="2410"/>
        <w:gridCol w:w="1843"/>
        <w:gridCol w:w="2410"/>
      </w:tblGrid>
      <w:tr w:rsidR="0033037F" w14:paraId="74C35302" w14:textId="77777777" w:rsidTr="0033037F">
        <w:trPr>
          <w:trHeight w:val="1035"/>
        </w:trPr>
        <w:tc>
          <w:tcPr>
            <w:tcW w:w="2835" w:type="dxa"/>
            <w:tcBorders>
              <w:top w:val="single" w:sz="4" w:space="0" w:color="auto"/>
              <w:left w:val="single" w:sz="4" w:space="0" w:color="auto"/>
              <w:bottom w:val="single" w:sz="4" w:space="0" w:color="auto"/>
              <w:right w:val="single" w:sz="4" w:space="0" w:color="auto"/>
            </w:tcBorders>
            <w:vAlign w:val="bottom"/>
            <w:hideMark/>
          </w:tcPr>
          <w:p w14:paraId="5565F23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Foglalkoztatási Központ előirányzat megnevezése</w:t>
            </w:r>
          </w:p>
        </w:tc>
        <w:tc>
          <w:tcPr>
            <w:tcW w:w="2410" w:type="dxa"/>
            <w:tcBorders>
              <w:top w:val="single" w:sz="4" w:space="0" w:color="auto"/>
              <w:left w:val="nil"/>
              <w:bottom w:val="single" w:sz="4" w:space="0" w:color="auto"/>
              <w:right w:val="single" w:sz="4" w:space="0" w:color="auto"/>
            </w:tcBorders>
            <w:vAlign w:val="center"/>
            <w:hideMark/>
          </w:tcPr>
          <w:p w14:paraId="430ABEA4"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0E406110"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1843" w:type="dxa"/>
            <w:tcBorders>
              <w:top w:val="single" w:sz="4" w:space="0" w:color="auto"/>
              <w:left w:val="nil"/>
              <w:bottom w:val="single" w:sz="4" w:space="0" w:color="auto"/>
              <w:right w:val="single" w:sz="4" w:space="0" w:color="auto"/>
            </w:tcBorders>
            <w:vAlign w:val="center"/>
            <w:hideMark/>
          </w:tcPr>
          <w:p w14:paraId="56D8613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410" w:type="dxa"/>
            <w:tcBorders>
              <w:top w:val="single" w:sz="4" w:space="0" w:color="auto"/>
              <w:left w:val="nil"/>
              <w:bottom w:val="single" w:sz="4" w:space="0" w:color="auto"/>
              <w:right w:val="single" w:sz="4" w:space="0" w:color="auto"/>
            </w:tcBorders>
            <w:vAlign w:val="center"/>
            <w:hideMark/>
          </w:tcPr>
          <w:p w14:paraId="4616D3A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10D956A8"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045478A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410" w:type="dxa"/>
            <w:tcBorders>
              <w:top w:val="nil"/>
              <w:left w:val="nil"/>
              <w:bottom w:val="single" w:sz="4" w:space="0" w:color="auto"/>
              <w:right w:val="single" w:sz="4" w:space="0" w:color="auto"/>
            </w:tcBorders>
            <w:noWrap/>
            <w:vAlign w:val="bottom"/>
            <w:hideMark/>
          </w:tcPr>
          <w:p w14:paraId="37A55B2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31.048.000</w:t>
            </w:r>
          </w:p>
        </w:tc>
        <w:tc>
          <w:tcPr>
            <w:tcW w:w="1843" w:type="dxa"/>
            <w:tcBorders>
              <w:top w:val="nil"/>
              <w:left w:val="nil"/>
              <w:bottom w:val="single" w:sz="4" w:space="0" w:color="auto"/>
              <w:right w:val="single" w:sz="4" w:space="0" w:color="auto"/>
            </w:tcBorders>
            <w:noWrap/>
            <w:vAlign w:val="bottom"/>
            <w:hideMark/>
          </w:tcPr>
          <w:p w14:paraId="5DA6179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-6.650.088</w:t>
            </w:r>
          </w:p>
        </w:tc>
        <w:tc>
          <w:tcPr>
            <w:tcW w:w="2410" w:type="dxa"/>
            <w:tcBorders>
              <w:top w:val="nil"/>
              <w:left w:val="nil"/>
              <w:bottom w:val="single" w:sz="4" w:space="0" w:color="auto"/>
              <w:right w:val="single" w:sz="4" w:space="0" w:color="auto"/>
            </w:tcBorders>
            <w:noWrap/>
            <w:vAlign w:val="bottom"/>
            <w:hideMark/>
          </w:tcPr>
          <w:p w14:paraId="47E3FFC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24.397.912</w:t>
            </w:r>
          </w:p>
        </w:tc>
      </w:tr>
      <w:tr w:rsidR="0033037F" w14:paraId="3C4B1116"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7CDE362E"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410" w:type="dxa"/>
            <w:tcBorders>
              <w:top w:val="nil"/>
              <w:left w:val="nil"/>
              <w:bottom w:val="single" w:sz="4" w:space="0" w:color="auto"/>
              <w:right w:val="single" w:sz="4" w:space="0" w:color="auto"/>
            </w:tcBorders>
            <w:noWrap/>
            <w:vAlign w:val="bottom"/>
            <w:hideMark/>
          </w:tcPr>
          <w:p w14:paraId="73D18A0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4.024.000</w:t>
            </w:r>
          </w:p>
        </w:tc>
        <w:tc>
          <w:tcPr>
            <w:tcW w:w="1843" w:type="dxa"/>
            <w:tcBorders>
              <w:top w:val="nil"/>
              <w:left w:val="nil"/>
              <w:bottom w:val="single" w:sz="4" w:space="0" w:color="auto"/>
              <w:right w:val="single" w:sz="4" w:space="0" w:color="auto"/>
            </w:tcBorders>
            <w:noWrap/>
            <w:vAlign w:val="bottom"/>
            <w:hideMark/>
          </w:tcPr>
          <w:p w14:paraId="48A9308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-840.638</w:t>
            </w:r>
          </w:p>
        </w:tc>
        <w:tc>
          <w:tcPr>
            <w:tcW w:w="2410" w:type="dxa"/>
            <w:tcBorders>
              <w:top w:val="nil"/>
              <w:left w:val="nil"/>
              <w:bottom w:val="single" w:sz="4" w:space="0" w:color="auto"/>
              <w:right w:val="single" w:sz="4" w:space="0" w:color="auto"/>
            </w:tcBorders>
            <w:noWrap/>
            <w:vAlign w:val="bottom"/>
            <w:hideMark/>
          </w:tcPr>
          <w:p w14:paraId="1DB8240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3.183.362</w:t>
            </w:r>
          </w:p>
        </w:tc>
      </w:tr>
      <w:tr w:rsidR="0033037F" w14:paraId="004AEA89"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26DB4C1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410" w:type="dxa"/>
            <w:tcBorders>
              <w:top w:val="nil"/>
              <w:left w:val="nil"/>
              <w:bottom w:val="single" w:sz="4" w:space="0" w:color="auto"/>
              <w:right w:val="single" w:sz="4" w:space="0" w:color="auto"/>
            </w:tcBorders>
            <w:noWrap/>
            <w:vAlign w:val="bottom"/>
            <w:hideMark/>
          </w:tcPr>
          <w:p w14:paraId="4602D2B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13.978.000</w:t>
            </w:r>
          </w:p>
        </w:tc>
        <w:tc>
          <w:tcPr>
            <w:tcW w:w="1843" w:type="dxa"/>
            <w:tcBorders>
              <w:top w:val="nil"/>
              <w:left w:val="nil"/>
              <w:bottom w:val="single" w:sz="4" w:space="0" w:color="auto"/>
              <w:right w:val="single" w:sz="4" w:space="0" w:color="auto"/>
            </w:tcBorders>
            <w:noWrap/>
            <w:vAlign w:val="bottom"/>
            <w:hideMark/>
          </w:tcPr>
          <w:p w14:paraId="75599CF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7.490.726</w:t>
            </w:r>
          </w:p>
        </w:tc>
        <w:tc>
          <w:tcPr>
            <w:tcW w:w="2410" w:type="dxa"/>
            <w:tcBorders>
              <w:top w:val="nil"/>
              <w:left w:val="nil"/>
              <w:bottom w:val="single" w:sz="4" w:space="0" w:color="auto"/>
              <w:right w:val="single" w:sz="4" w:space="0" w:color="auto"/>
            </w:tcBorders>
            <w:noWrap/>
            <w:vAlign w:val="bottom"/>
            <w:hideMark/>
          </w:tcPr>
          <w:p w14:paraId="09E70F8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21.468.726</w:t>
            </w:r>
          </w:p>
        </w:tc>
      </w:tr>
      <w:tr w:rsidR="0033037F" w14:paraId="26A14CB7"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55144A5B"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410" w:type="dxa"/>
            <w:tcBorders>
              <w:top w:val="nil"/>
              <w:left w:val="nil"/>
              <w:bottom w:val="single" w:sz="4" w:space="0" w:color="auto"/>
              <w:right w:val="single" w:sz="4" w:space="0" w:color="auto"/>
            </w:tcBorders>
            <w:noWrap/>
            <w:vAlign w:val="bottom"/>
            <w:hideMark/>
          </w:tcPr>
          <w:p w14:paraId="067574E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bottom"/>
            <w:hideMark/>
          </w:tcPr>
          <w:p w14:paraId="6313979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01AB607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18D94B1F"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1508CFE4"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410" w:type="dxa"/>
            <w:tcBorders>
              <w:top w:val="nil"/>
              <w:left w:val="nil"/>
              <w:bottom w:val="single" w:sz="4" w:space="0" w:color="auto"/>
              <w:right w:val="single" w:sz="4" w:space="0" w:color="auto"/>
            </w:tcBorders>
            <w:noWrap/>
            <w:vAlign w:val="bottom"/>
            <w:hideMark/>
          </w:tcPr>
          <w:p w14:paraId="0E1C2C4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bottom"/>
            <w:hideMark/>
          </w:tcPr>
          <w:p w14:paraId="69DB8073"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24DBA1C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350F7D92"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6323AE37"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lastRenderedPageBreak/>
              <w:t>KIADÁSOK ÖSSZESEN</w:t>
            </w:r>
          </w:p>
        </w:tc>
        <w:tc>
          <w:tcPr>
            <w:tcW w:w="2410" w:type="dxa"/>
            <w:tcBorders>
              <w:top w:val="nil"/>
              <w:left w:val="nil"/>
              <w:bottom w:val="single" w:sz="4" w:space="0" w:color="auto"/>
              <w:right w:val="single" w:sz="4" w:space="0" w:color="auto"/>
            </w:tcBorders>
            <w:shd w:val="clear" w:color="auto" w:fill="F2F2F2"/>
            <w:noWrap/>
            <w:vAlign w:val="bottom"/>
            <w:hideMark/>
          </w:tcPr>
          <w:p w14:paraId="6ADF588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843" w:type="dxa"/>
            <w:tcBorders>
              <w:top w:val="nil"/>
              <w:left w:val="nil"/>
              <w:bottom w:val="single" w:sz="4" w:space="0" w:color="auto"/>
              <w:right w:val="single" w:sz="4" w:space="0" w:color="auto"/>
            </w:tcBorders>
            <w:shd w:val="clear" w:color="auto" w:fill="F2F2F2"/>
            <w:noWrap/>
            <w:vAlign w:val="bottom"/>
            <w:hideMark/>
          </w:tcPr>
          <w:p w14:paraId="1554507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5E9FD732"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33037F" w14:paraId="2121E29D"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2E510CCD"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410" w:type="dxa"/>
            <w:tcBorders>
              <w:top w:val="nil"/>
              <w:left w:val="nil"/>
              <w:bottom w:val="single" w:sz="4" w:space="0" w:color="auto"/>
              <w:right w:val="single" w:sz="4" w:space="0" w:color="auto"/>
            </w:tcBorders>
            <w:noWrap/>
            <w:vAlign w:val="bottom"/>
            <w:hideMark/>
          </w:tcPr>
          <w:p w14:paraId="7664E83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1843" w:type="dxa"/>
            <w:tcBorders>
              <w:top w:val="nil"/>
              <w:left w:val="nil"/>
              <w:bottom w:val="single" w:sz="4" w:space="0" w:color="auto"/>
              <w:right w:val="single" w:sz="4" w:space="0" w:color="auto"/>
            </w:tcBorders>
            <w:noWrap/>
            <w:vAlign w:val="bottom"/>
            <w:hideMark/>
          </w:tcPr>
          <w:p w14:paraId="182E6F3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86D389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33037F" w14:paraId="5C1B0F23" w14:textId="77777777" w:rsidTr="0033037F">
        <w:trPr>
          <w:trHeight w:val="555"/>
        </w:trPr>
        <w:tc>
          <w:tcPr>
            <w:tcW w:w="2835" w:type="dxa"/>
            <w:tcBorders>
              <w:top w:val="nil"/>
              <w:left w:val="single" w:sz="4" w:space="0" w:color="auto"/>
              <w:bottom w:val="single" w:sz="4" w:space="0" w:color="auto"/>
              <w:right w:val="single" w:sz="4" w:space="0" w:color="auto"/>
            </w:tcBorders>
            <w:vAlign w:val="bottom"/>
            <w:hideMark/>
          </w:tcPr>
          <w:p w14:paraId="2BFF5304"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Szolgáltatások ellenértékének bevétele</w:t>
            </w:r>
          </w:p>
        </w:tc>
        <w:tc>
          <w:tcPr>
            <w:tcW w:w="2410" w:type="dxa"/>
            <w:tcBorders>
              <w:top w:val="nil"/>
              <w:left w:val="nil"/>
              <w:bottom w:val="single" w:sz="4" w:space="0" w:color="auto"/>
              <w:right w:val="single" w:sz="4" w:space="0" w:color="auto"/>
            </w:tcBorders>
            <w:noWrap/>
            <w:vAlign w:val="bottom"/>
            <w:hideMark/>
          </w:tcPr>
          <w:p w14:paraId="7D2079D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bottom"/>
            <w:hideMark/>
          </w:tcPr>
          <w:p w14:paraId="61EF58E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3632F62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20C2274A"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1520960C"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410" w:type="dxa"/>
            <w:tcBorders>
              <w:top w:val="nil"/>
              <w:left w:val="nil"/>
              <w:bottom w:val="single" w:sz="4" w:space="0" w:color="auto"/>
              <w:right w:val="single" w:sz="4" w:space="0" w:color="auto"/>
            </w:tcBorders>
            <w:shd w:val="clear" w:color="auto" w:fill="F2F2F2"/>
            <w:noWrap/>
            <w:vAlign w:val="bottom"/>
            <w:hideMark/>
          </w:tcPr>
          <w:p w14:paraId="1E29062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843" w:type="dxa"/>
            <w:tcBorders>
              <w:top w:val="nil"/>
              <w:left w:val="nil"/>
              <w:bottom w:val="single" w:sz="4" w:space="0" w:color="auto"/>
              <w:right w:val="single" w:sz="4" w:space="0" w:color="auto"/>
            </w:tcBorders>
            <w:shd w:val="clear" w:color="auto" w:fill="F2F2F2"/>
            <w:noWrap/>
            <w:vAlign w:val="bottom"/>
            <w:hideMark/>
          </w:tcPr>
          <w:p w14:paraId="26DDDE10"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410" w:type="dxa"/>
            <w:tcBorders>
              <w:top w:val="nil"/>
              <w:left w:val="nil"/>
              <w:bottom w:val="single" w:sz="4" w:space="0" w:color="auto"/>
              <w:right w:val="single" w:sz="4" w:space="0" w:color="auto"/>
            </w:tcBorders>
            <w:shd w:val="clear" w:color="auto" w:fill="F2F2F2"/>
            <w:noWrap/>
            <w:vAlign w:val="bottom"/>
            <w:hideMark/>
          </w:tcPr>
          <w:p w14:paraId="289CC1C3"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536A065E" w14:textId="77777777" w:rsidR="0033037F" w:rsidRDefault="0033037F" w:rsidP="0033037F">
      <w:pPr>
        <w:spacing w:line="240" w:lineRule="auto"/>
        <w:jc w:val="center"/>
        <w:rPr>
          <w:rFonts w:asciiTheme="majorHAnsi" w:hAnsiTheme="majorHAnsi" w:cstheme="majorHAnsi"/>
          <w:b/>
          <w:sz w:val="24"/>
          <w:szCs w:val="24"/>
          <w:u w:val="single"/>
        </w:rPr>
      </w:pPr>
    </w:p>
    <w:p w14:paraId="366E046D" w14:textId="1E880555"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Roma Misszió</w:t>
      </w:r>
    </w:p>
    <w:p w14:paraId="63413F08" w14:textId="77777777" w:rsidR="0033037F" w:rsidRDefault="0033037F" w:rsidP="0033037F">
      <w:pPr>
        <w:spacing w:line="240" w:lineRule="auto"/>
        <w:rPr>
          <w:rFonts w:asciiTheme="majorHAnsi" w:hAnsiTheme="majorHAnsi" w:cstheme="majorHAnsi"/>
          <w:b/>
          <w:sz w:val="24"/>
          <w:szCs w:val="24"/>
          <w:u w:val="single"/>
        </w:rPr>
      </w:pPr>
    </w:p>
    <w:tbl>
      <w:tblPr>
        <w:tblW w:w="9498" w:type="dxa"/>
        <w:tblInd w:w="-572" w:type="dxa"/>
        <w:tblCellMar>
          <w:left w:w="70" w:type="dxa"/>
          <w:right w:w="70" w:type="dxa"/>
        </w:tblCellMar>
        <w:tblLook w:val="04A0" w:firstRow="1" w:lastRow="0" w:firstColumn="1" w:lastColumn="0" w:noHBand="0" w:noVBand="1"/>
      </w:tblPr>
      <w:tblGrid>
        <w:gridCol w:w="2835"/>
        <w:gridCol w:w="2552"/>
        <w:gridCol w:w="1843"/>
        <w:gridCol w:w="2268"/>
      </w:tblGrid>
      <w:tr w:rsidR="0033037F" w14:paraId="2A641284" w14:textId="77777777" w:rsidTr="0033037F">
        <w:trPr>
          <w:trHeight w:val="855"/>
        </w:trPr>
        <w:tc>
          <w:tcPr>
            <w:tcW w:w="2835" w:type="dxa"/>
            <w:tcBorders>
              <w:top w:val="single" w:sz="4" w:space="0" w:color="auto"/>
              <w:left w:val="single" w:sz="4" w:space="0" w:color="auto"/>
              <w:bottom w:val="single" w:sz="4" w:space="0" w:color="auto"/>
              <w:right w:val="single" w:sz="4" w:space="0" w:color="auto"/>
            </w:tcBorders>
            <w:vAlign w:val="bottom"/>
            <w:hideMark/>
          </w:tcPr>
          <w:p w14:paraId="35AC9B92"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Misszió előirányzat megnevezése</w:t>
            </w:r>
          </w:p>
        </w:tc>
        <w:tc>
          <w:tcPr>
            <w:tcW w:w="2552" w:type="dxa"/>
            <w:tcBorders>
              <w:top w:val="single" w:sz="4" w:space="0" w:color="auto"/>
              <w:left w:val="nil"/>
              <w:bottom w:val="single" w:sz="4" w:space="0" w:color="auto"/>
              <w:right w:val="single" w:sz="4" w:space="0" w:color="auto"/>
            </w:tcBorders>
            <w:vAlign w:val="center"/>
            <w:hideMark/>
          </w:tcPr>
          <w:p w14:paraId="39D8FEF0"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54B9214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1843" w:type="dxa"/>
            <w:tcBorders>
              <w:top w:val="single" w:sz="4" w:space="0" w:color="auto"/>
              <w:left w:val="nil"/>
              <w:bottom w:val="single" w:sz="4" w:space="0" w:color="auto"/>
              <w:right w:val="single" w:sz="4" w:space="0" w:color="auto"/>
            </w:tcBorders>
            <w:vAlign w:val="center"/>
            <w:hideMark/>
          </w:tcPr>
          <w:p w14:paraId="5D3F077F"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268" w:type="dxa"/>
            <w:tcBorders>
              <w:top w:val="single" w:sz="4" w:space="0" w:color="auto"/>
              <w:left w:val="nil"/>
              <w:bottom w:val="single" w:sz="4" w:space="0" w:color="auto"/>
              <w:right w:val="single" w:sz="4" w:space="0" w:color="auto"/>
            </w:tcBorders>
            <w:vAlign w:val="center"/>
            <w:hideMark/>
          </w:tcPr>
          <w:p w14:paraId="560F7764"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46062221"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5C272DF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552" w:type="dxa"/>
            <w:tcBorders>
              <w:top w:val="nil"/>
              <w:left w:val="nil"/>
              <w:bottom w:val="single" w:sz="4" w:space="0" w:color="auto"/>
              <w:right w:val="single" w:sz="4" w:space="0" w:color="auto"/>
            </w:tcBorders>
            <w:noWrap/>
            <w:vAlign w:val="center"/>
            <w:hideMark/>
          </w:tcPr>
          <w:p w14:paraId="661B38A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24.356.000</w:t>
            </w:r>
          </w:p>
        </w:tc>
        <w:tc>
          <w:tcPr>
            <w:tcW w:w="1843" w:type="dxa"/>
            <w:tcBorders>
              <w:top w:val="nil"/>
              <w:left w:val="nil"/>
              <w:bottom w:val="single" w:sz="4" w:space="0" w:color="auto"/>
              <w:right w:val="single" w:sz="4" w:space="0" w:color="auto"/>
            </w:tcBorders>
            <w:noWrap/>
            <w:vAlign w:val="center"/>
            <w:hideMark/>
          </w:tcPr>
          <w:p w14:paraId="3D59CD1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391DC47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24.356.000</w:t>
            </w:r>
          </w:p>
        </w:tc>
      </w:tr>
      <w:tr w:rsidR="0033037F" w14:paraId="48AE1C3C"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74582839"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552" w:type="dxa"/>
            <w:tcBorders>
              <w:top w:val="nil"/>
              <w:left w:val="nil"/>
              <w:bottom w:val="single" w:sz="4" w:space="0" w:color="auto"/>
              <w:right w:val="single" w:sz="4" w:space="0" w:color="auto"/>
            </w:tcBorders>
            <w:noWrap/>
            <w:vAlign w:val="center"/>
            <w:hideMark/>
          </w:tcPr>
          <w:p w14:paraId="750C038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3.188.000</w:t>
            </w:r>
          </w:p>
        </w:tc>
        <w:tc>
          <w:tcPr>
            <w:tcW w:w="1843" w:type="dxa"/>
            <w:tcBorders>
              <w:top w:val="nil"/>
              <w:left w:val="nil"/>
              <w:bottom w:val="single" w:sz="4" w:space="0" w:color="auto"/>
              <w:right w:val="single" w:sz="4" w:space="0" w:color="auto"/>
            </w:tcBorders>
            <w:noWrap/>
            <w:vAlign w:val="center"/>
            <w:hideMark/>
          </w:tcPr>
          <w:p w14:paraId="68F100F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00BF5F0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3.188.000</w:t>
            </w:r>
          </w:p>
        </w:tc>
      </w:tr>
      <w:tr w:rsidR="0033037F" w14:paraId="0C044582"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5A7E1193"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552" w:type="dxa"/>
            <w:tcBorders>
              <w:top w:val="nil"/>
              <w:left w:val="nil"/>
              <w:bottom w:val="single" w:sz="4" w:space="0" w:color="auto"/>
              <w:right w:val="single" w:sz="4" w:space="0" w:color="auto"/>
            </w:tcBorders>
            <w:noWrap/>
            <w:vAlign w:val="center"/>
            <w:hideMark/>
          </w:tcPr>
          <w:p w14:paraId="3175094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21.506.000</w:t>
            </w:r>
          </w:p>
        </w:tc>
        <w:tc>
          <w:tcPr>
            <w:tcW w:w="1843" w:type="dxa"/>
            <w:tcBorders>
              <w:top w:val="nil"/>
              <w:left w:val="nil"/>
              <w:bottom w:val="single" w:sz="4" w:space="0" w:color="auto"/>
              <w:right w:val="single" w:sz="4" w:space="0" w:color="auto"/>
            </w:tcBorders>
            <w:noWrap/>
            <w:vAlign w:val="center"/>
            <w:hideMark/>
          </w:tcPr>
          <w:p w14:paraId="71F27AB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7E5B34C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21.506.000</w:t>
            </w:r>
          </w:p>
        </w:tc>
      </w:tr>
      <w:tr w:rsidR="0033037F" w14:paraId="494EE509"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1AEB3AE9"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552" w:type="dxa"/>
            <w:tcBorders>
              <w:top w:val="nil"/>
              <w:left w:val="nil"/>
              <w:bottom w:val="single" w:sz="4" w:space="0" w:color="auto"/>
              <w:right w:val="single" w:sz="4" w:space="0" w:color="auto"/>
            </w:tcBorders>
            <w:noWrap/>
            <w:vAlign w:val="center"/>
            <w:hideMark/>
          </w:tcPr>
          <w:p w14:paraId="4D3FB65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center"/>
            <w:hideMark/>
          </w:tcPr>
          <w:p w14:paraId="2042FC3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44D20D2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0FDE9B09" w14:textId="77777777" w:rsidTr="0033037F">
        <w:trPr>
          <w:trHeight w:val="446"/>
        </w:trPr>
        <w:tc>
          <w:tcPr>
            <w:tcW w:w="2835" w:type="dxa"/>
            <w:tcBorders>
              <w:top w:val="nil"/>
              <w:left w:val="single" w:sz="4" w:space="0" w:color="auto"/>
              <w:bottom w:val="single" w:sz="4" w:space="0" w:color="auto"/>
              <w:right w:val="single" w:sz="4" w:space="0" w:color="auto"/>
            </w:tcBorders>
            <w:noWrap/>
            <w:vAlign w:val="bottom"/>
            <w:hideMark/>
          </w:tcPr>
          <w:p w14:paraId="72B564A1"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552" w:type="dxa"/>
            <w:tcBorders>
              <w:top w:val="nil"/>
              <w:left w:val="nil"/>
              <w:bottom w:val="single" w:sz="4" w:space="0" w:color="auto"/>
              <w:right w:val="single" w:sz="4" w:space="0" w:color="auto"/>
            </w:tcBorders>
            <w:noWrap/>
            <w:vAlign w:val="center"/>
            <w:hideMark/>
          </w:tcPr>
          <w:p w14:paraId="33E276F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center"/>
            <w:hideMark/>
          </w:tcPr>
          <w:p w14:paraId="11F9B82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341B2170"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48671A99"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69EE5779"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552" w:type="dxa"/>
            <w:tcBorders>
              <w:top w:val="nil"/>
              <w:left w:val="nil"/>
              <w:bottom w:val="single" w:sz="4" w:space="0" w:color="auto"/>
              <w:right w:val="single" w:sz="4" w:space="0" w:color="auto"/>
            </w:tcBorders>
            <w:shd w:val="clear" w:color="auto" w:fill="F2F2F2"/>
            <w:noWrap/>
            <w:vAlign w:val="center"/>
            <w:hideMark/>
          </w:tcPr>
          <w:p w14:paraId="779EA76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843" w:type="dxa"/>
            <w:tcBorders>
              <w:top w:val="nil"/>
              <w:left w:val="nil"/>
              <w:bottom w:val="single" w:sz="4" w:space="0" w:color="auto"/>
              <w:right w:val="single" w:sz="4" w:space="0" w:color="auto"/>
            </w:tcBorders>
            <w:shd w:val="clear" w:color="auto" w:fill="F2F2F2"/>
            <w:noWrap/>
            <w:vAlign w:val="center"/>
            <w:hideMark/>
          </w:tcPr>
          <w:p w14:paraId="1C8A0513"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268" w:type="dxa"/>
            <w:tcBorders>
              <w:top w:val="nil"/>
              <w:left w:val="nil"/>
              <w:bottom w:val="single" w:sz="4" w:space="0" w:color="auto"/>
              <w:right w:val="single" w:sz="4" w:space="0" w:color="auto"/>
            </w:tcBorders>
            <w:shd w:val="clear" w:color="auto" w:fill="F2F2F2"/>
            <w:noWrap/>
            <w:vAlign w:val="center"/>
            <w:hideMark/>
          </w:tcPr>
          <w:p w14:paraId="75F162C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33037F" w14:paraId="46C0B094"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36744350"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552" w:type="dxa"/>
            <w:tcBorders>
              <w:top w:val="nil"/>
              <w:left w:val="nil"/>
              <w:bottom w:val="single" w:sz="4" w:space="0" w:color="auto"/>
              <w:right w:val="single" w:sz="4" w:space="0" w:color="auto"/>
            </w:tcBorders>
            <w:noWrap/>
            <w:vAlign w:val="center"/>
            <w:hideMark/>
          </w:tcPr>
          <w:p w14:paraId="254724D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1843" w:type="dxa"/>
            <w:tcBorders>
              <w:top w:val="nil"/>
              <w:left w:val="nil"/>
              <w:bottom w:val="single" w:sz="4" w:space="0" w:color="auto"/>
              <w:right w:val="single" w:sz="4" w:space="0" w:color="auto"/>
            </w:tcBorders>
            <w:noWrap/>
            <w:vAlign w:val="center"/>
            <w:hideMark/>
          </w:tcPr>
          <w:p w14:paraId="355CF83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4AAC1579"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33037F" w14:paraId="58EFED2A"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6942EDA3"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552" w:type="dxa"/>
            <w:tcBorders>
              <w:top w:val="nil"/>
              <w:left w:val="nil"/>
              <w:bottom w:val="single" w:sz="4" w:space="0" w:color="auto"/>
              <w:right w:val="single" w:sz="4" w:space="0" w:color="auto"/>
            </w:tcBorders>
            <w:noWrap/>
            <w:vAlign w:val="center"/>
            <w:hideMark/>
          </w:tcPr>
          <w:p w14:paraId="47A3782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center"/>
            <w:hideMark/>
          </w:tcPr>
          <w:p w14:paraId="6546611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58087EA9"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108D0822" w14:textId="77777777" w:rsidTr="0033037F">
        <w:trPr>
          <w:trHeight w:val="525"/>
        </w:trPr>
        <w:tc>
          <w:tcPr>
            <w:tcW w:w="2835" w:type="dxa"/>
            <w:tcBorders>
              <w:top w:val="nil"/>
              <w:left w:val="single" w:sz="4" w:space="0" w:color="auto"/>
              <w:bottom w:val="single" w:sz="4" w:space="0" w:color="auto"/>
              <w:right w:val="single" w:sz="4" w:space="0" w:color="auto"/>
            </w:tcBorders>
            <w:vAlign w:val="bottom"/>
            <w:hideMark/>
          </w:tcPr>
          <w:p w14:paraId="076A40F3"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Támogatás bevétele</w:t>
            </w:r>
          </w:p>
        </w:tc>
        <w:tc>
          <w:tcPr>
            <w:tcW w:w="2552" w:type="dxa"/>
            <w:tcBorders>
              <w:top w:val="nil"/>
              <w:left w:val="nil"/>
              <w:bottom w:val="single" w:sz="4" w:space="0" w:color="auto"/>
              <w:right w:val="single" w:sz="4" w:space="0" w:color="auto"/>
            </w:tcBorders>
            <w:noWrap/>
            <w:vAlign w:val="center"/>
            <w:hideMark/>
          </w:tcPr>
          <w:p w14:paraId="124A51D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843" w:type="dxa"/>
            <w:tcBorders>
              <w:top w:val="nil"/>
              <w:left w:val="nil"/>
              <w:bottom w:val="single" w:sz="4" w:space="0" w:color="auto"/>
              <w:right w:val="single" w:sz="4" w:space="0" w:color="auto"/>
            </w:tcBorders>
            <w:noWrap/>
            <w:vAlign w:val="center"/>
            <w:hideMark/>
          </w:tcPr>
          <w:p w14:paraId="48327B59"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center"/>
            <w:hideMark/>
          </w:tcPr>
          <w:p w14:paraId="53B2E1C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0350D907"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0D7DBC99"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552" w:type="dxa"/>
            <w:tcBorders>
              <w:top w:val="nil"/>
              <w:left w:val="nil"/>
              <w:bottom w:val="single" w:sz="4" w:space="0" w:color="auto"/>
              <w:right w:val="single" w:sz="4" w:space="0" w:color="auto"/>
            </w:tcBorders>
            <w:shd w:val="clear" w:color="auto" w:fill="F2F2F2"/>
            <w:noWrap/>
            <w:vAlign w:val="center"/>
            <w:hideMark/>
          </w:tcPr>
          <w:p w14:paraId="2BB8EE8F"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843" w:type="dxa"/>
            <w:tcBorders>
              <w:top w:val="nil"/>
              <w:left w:val="nil"/>
              <w:bottom w:val="single" w:sz="4" w:space="0" w:color="auto"/>
              <w:right w:val="single" w:sz="4" w:space="0" w:color="auto"/>
            </w:tcBorders>
            <w:shd w:val="clear" w:color="auto" w:fill="F2F2F2"/>
            <w:noWrap/>
            <w:vAlign w:val="center"/>
            <w:hideMark/>
          </w:tcPr>
          <w:p w14:paraId="70A4A788"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268" w:type="dxa"/>
            <w:tcBorders>
              <w:top w:val="nil"/>
              <w:left w:val="nil"/>
              <w:bottom w:val="single" w:sz="4" w:space="0" w:color="auto"/>
              <w:right w:val="single" w:sz="4" w:space="0" w:color="auto"/>
            </w:tcBorders>
            <w:shd w:val="clear" w:color="auto" w:fill="F2F2F2"/>
            <w:noWrap/>
            <w:vAlign w:val="center"/>
            <w:hideMark/>
          </w:tcPr>
          <w:p w14:paraId="77BC0676"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4FA29445" w14:textId="77777777" w:rsidR="0033037F" w:rsidRDefault="0033037F" w:rsidP="0033037F">
      <w:pPr>
        <w:pStyle w:val="Default"/>
        <w:jc w:val="both"/>
        <w:rPr>
          <w:rFonts w:ascii="Times New Roman" w:hAnsi="Times New Roman" w:cs="Times New Roman"/>
        </w:rPr>
      </w:pPr>
      <w:r>
        <w:t xml:space="preserve"> </w:t>
      </w:r>
    </w:p>
    <w:p w14:paraId="41C86CDD" w14:textId="06CF6E0F" w:rsidR="0033037F" w:rsidRDefault="0033037F" w:rsidP="0033037F">
      <w:pPr>
        <w:pStyle w:val="Default"/>
        <w:ind w:left="-567" w:right="-283"/>
        <w:jc w:val="both"/>
        <w:rPr>
          <w:rFonts w:asciiTheme="majorHAnsi" w:hAnsiTheme="majorHAnsi" w:cstheme="majorHAnsi"/>
          <w:sz w:val="23"/>
          <w:szCs w:val="23"/>
        </w:rPr>
      </w:pPr>
      <w:r>
        <w:rPr>
          <w:rFonts w:asciiTheme="majorHAnsi" w:hAnsiTheme="majorHAnsi" w:cstheme="majorHAnsi"/>
          <w:sz w:val="23"/>
          <w:szCs w:val="23"/>
        </w:rPr>
        <w:t xml:space="preserve">Roma nemzetiségi kulturális kezdeményezések 2026. évi költségvetési támogatására" címmel kiírt nyílt pályázatán az Országos Roma Misszió pályázatot nyújtott be, sikeres pályázat esetén az intézmény költségvetését ismét módosítani kell. </w:t>
      </w:r>
    </w:p>
    <w:p w14:paraId="41052A02" w14:textId="77777777" w:rsidR="0033037F" w:rsidRDefault="0033037F" w:rsidP="0033037F">
      <w:pPr>
        <w:pStyle w:val="Default"/>
        <w:ind w:left="-567" w:right="-283"/>
        <w:jc w:val="both"/>
        <w:rPr>
          <w:rFonts w:asciiTheme="majorHAnsi" w:hAnsiTheme="majorHAnsi" w:cstheme="majorHAnsi"/>
          <w:sz w:val="23"/>
          <w:szCs w:val="23"/>
        </w:rPr>
      </w:pPr>
    </w:p>
    <w:p w14:paraId="7E2972C1" w14:textId="591BF5BD"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Sportközpont</w:t>
      </w:r>
    </w:p>
    <w:p w14:paraId="20AF39B7" w14:textId="77777777" w:rsidR="0033037F" w:rsidRDefault="0033037F" w:rsidP="0033037F">
      <w:pPr>
        <w:spacing w:line="240" w:lineRule="auto"/>
        <w:rPr>
          <w:rFonts w:asciiTheme="majorHAnsi" w:hAnsiTheme="majorHAnsi" w:cstheme="majorHAnsi"/>
          <w:b/>
          <w:sz w:val="24"/>
          <w:szCs w:val="24"/>
          <w:u w:val="single"/>
        </w:rPr>
      </w:pPr>
    </w:p>
    <w:tbl>
      <w:tblPr>
        <w:tblW w:w="9498" w:type="dxa"/>
        <w:tblInd w:w="-577" w:type="dxa"/>
        <w:tblCellMar>
          <w:left w:w="70" w:type="dxa"/>
          <w:right w:w="70" w:type="dxa"/>
        </w:tblCellMar>
        <w:tblLook w:val="04A0" w:firstRow="1" w:lastRow="0" w:firstColumn="1" w:lastColumn="0" w:noHBand="0" w:noVBand="1"/>
      </w:tblPr>
      <w:tblGrid>
        <w:gridCol w:w="2835"/>
        <w:gridCol w:w="2268"/>
        <w:gridCol w:w="2268"/>
        <w:gridCol w:w="2127"/>
      </w:tblGrid>
      <w:tr w:rsidR="0033037F" w14:paraId="7270D226" w14:textId="77777777" w:rsidTr="0033037F">
        <w:trPr>
          <w:trHeight w:val="1074"/>
        </w:trPr>
        <w:tc>
          <w:tcPr>
            <w:tcW w:w="2835" w:type="dxa"/>
            <w:tcBorders>
              <w:top w:val="single" w:sz="8" w:space="0" w:color="auto"/>
              <w:left w:val="single" w:sz="8" w:space="0" w:color="auto"/>
              <w:bottom w:val="single" w:sz="8" w:space="0" w:color="auto"/>
              <w:right w:val="single" w:sz="8" w:space="0" w:color="auto"/>
            </w:tcBorders>
            <w:vAlign w:val="center"/>
            <w:hideMark/>
          </w:tcPr>
          <w:p w14:paraId="172442C3"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Sportközpont előirányzat megnevezése</w:t>
            </w:r>
          </w:p>
        </w:tc>
        <w:tc>
          <w:tcPr>
            <w:tcW w:w="2268" w:type="dxa"/>
            <w:tcBorders>
              <w:top w:val="single" w:sz="8" w:space="0" w:color="auto"/>
              <w:left w:val="nil"/>
              <w:bottom w:val="single" w:sz="8" w:space="0" w:color="auto"/>
              <w:right w:val="single" w:sz="8" w:space="0" w:color="auto"/>
            </w:tcBorders>
            <w:vAlign w:val="center"/>
            <w:hideMark/>
          </w:tcPr>
          <w:p w14:paraId="6521F500"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62C0E9BF"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8" w:space="0" w:color="auto"/>
              <w:left w:val="nil"/>
              <w:bottom w:val="single" w:sz="8" w:space="0" w:color="auto"/>
              <w:right w:val="single" w:sz="8" w:space="0" w:color="auto"/>
            </w:tcBorders>
            <w:vAlign w:val="center"/>
            <w:hideMark/>
          </w:tcPr>
          <w:p w14:paraId="1DD4420B"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127" w:type="dxa"/>
            <w:tcBorders>
              <w:top w:val="single" w:sz="8" w:space="0" w:color="auto"/>
              <w:left w:val="nil"/>
              <w:bottom w:val="single" w:sz="8" w:space="0" w:color="auto"/>
              <w:right w:val="single" w:sz="8" w:space="0" w:color="auto"/>
            </w:tcBorders>
            <w:vAlign w:val="center"/>
            <w:hideMark/>
          </w:tcPr>
          <w:p w14:paraId="72F66AE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482300DF"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6D3AE3BA"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268" w:type="dxa"/>
            <w:tcBorders>
              <w:top w:val="nil"/>
              <w:left w:val="nil"/>
              <w:bottom w:val="single" w:sz="8" w:space="0" w:color="auto"/>
              <w:right w:val="single" w:sz="8" w:space="0" w:color="auto"/>
            </w:tcBorders>
            <w:noWrap/>
            <w:vAlign w:val="center"/>
            <w:hideMark/>
          </w:tcPr>
          <w:p w14:paraId="073F546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20.756.000</w:t>
            </w:r>
          </w:p>
        </w:tc>
        <w:tc>
          <w:tcPr>
            <w:tcW w:w="2268" w:type="dxa"/>
            <w:tcBorders>
              <w:top w:val="nil"/>
              <w:left w:val="nil"/>
              <w:bottom w:val="single" w:sz="8" w:space="0" w:color="auto"/>
              <w:right w:val="single" w:sz="8" w:space="0" w:color="auto"/>
            </w:tcBorders>
            <w:noWrap/>
            <w:vAlign w:val="center"/>
            <w:hideMark/>
          </w:tcPr>
          <w:p w14:paraId="2394BFD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1C8F7FB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20.756.000</w:t>
            </w:r>
          </w:p>
        </w:tc>
      </w:tr>
      <w:tr w:rsidR="0033037F" w14:paraId="55D2D2A3"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01E534BF"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268" w:type="dxa"/>
            <w:tcBorders>
              <w:top w:val="nil"/>
              <w:left w:val="nil"/>
              <w:bottom w:val="single" w:sz="8" w:space="0" w:color="auto"/>
              <w:right w:val="single" w:sz="8" w:space="0" w:color="auto"/>
            </w:tcBorders>
            <w:noWrap/>
            <w:vAlign w:val="center"/>
            <w:hideMark/>
          </w:tcPr>
          <w:p w14:paraId="51252CA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2.698.200</w:t>
            </w:r>
          </w:p>
        </w:tc>
        <w:tc>
          <w:tcPr>
            <w:tcW w:w="2268" w:type="dxa"/>
            <w:tcBorders>
              <w:top w:val="nil"/>
              <w:left w:val="nil"/>
              <w:bottom w:val="single" w:sz="8" w:space="0" w:color="auto"/>
              <w:right w:val="single" w:sz="8" w:space="0" w:color="auto"/>
            </w:tcBorders>
            <w:noWrap/>
            <w:vAlign w:val="center"/>
            <w:hideMark/>
          </w:tcPr>
          <w:p w14:paraId="1A2F9F8D"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30089F4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2.698.200</w:t>
            </w:r>
          </w:p>
        </w:tc>
      </w:tr>
      <w:tr w:rsidR="0033037F" w14:paraId="5B1A1854"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13E79660"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268" w:type="dxa"/>
            <w:tcBorders>
              <w:top w:val="nil"/>
              <w:left w:val="nil"/>
              <w:bottom w:val="single" w:sz="8" w:space="0" w:color="auto"/>
              <w:right w:val="single" w:sz="8" w:space="0" w:color="auto"/>
            </w:tcBorders>
            <w:noWrap/>
            <w:vAlign w:val="center"/>
            <w:hideMark/>
          </w:tcPr>
          <w:p w14:paraId="3680AE9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25.595.800</w:t>
            </w:r>
          </w:p>
        </w:tc>
        <w:tc>
          <w:tcPr>
            <w:tcW w:w="2268" w:type="dxa"/>
            <w:tcBorders>
              <w:top w:val="nil"/>
              <w:left w:val="nil"/>
              <w:bottom w:val="single" w:sz="8" w:space="0" w:color="auto"/>
              <w:right w:val="single" w:sz="8" w:space="0" w:color="auto"/>
            </w:tcBorders>
            <w:noWrap/>
            <w:vAlign w:val="center"/>
            <w:hideMark/>
          </w:tcPr>
          <w:p w14:paraId="01B6251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43BA3F4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25.595.800</w:t>
            </w:r>
          </w:p>
        </w:tc>
      </w:tr>
      <w:tr w:rsidR="0033037F" w14:paraId="6D483449"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13242C54"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268" w:type="dxa"/>
            <w:tcBorders>
              <w:top w:val="nil"/>
              <w:left w:val="nil"/>
              <w:bottom w:val="single" w:sz="8" w:space="0" w:color="auto"/>
              <w:right w:val="single" w:sz="8" w:space="0" w:color="auto"/>
            </w:tcBorders>
            <w:noWrap/>
            <w:vAlign w:val="center"/>
            <w:hideMark/>
          </w:tcPr>
          <w:p w14:paraId="6DC555E0"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467C578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2B36B84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27DC36E5" w14:textId="77777777" w:rsidTr="0033037F">
        <w:trPr>
          <w:trHeight w:val="315"/>
        </w:trPr>
        <w:tc>
          <w:tcPr>
            <w:tcW w:w="2835" w:type="dxa"/>
            <w:tcBorders>
              <w:top w:val="nil"/>
              <w:left w:val="single" w:sz="8" w:space="0" w:color="auto"/>
              <w:bottom w:val="single" w:sz="8" w:space="0" w:color="auto"/>
              <w:right w:val="single" w:sz="8" w:space="0" w:color="auto"/>
            </w:tcBorders>
            <w:shd w:val="clear" w:color="auto" w:fill="F2F2F2"/>
            <w:noWrap/>
            <w:vAlign w:val="center"/>
            <w:hideMark/>
          </w:tcPr>
          <w:p w14:paraId="060AD314"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268" w:type="dxa"/>
            <w:tcBorders>
              <w:top w:val="nil"/>
              <w:left w:val="nil"/>
              <w:bottom w:val="single" w:sz="8" w:space="0" w:color="auto"/>
              <w:right w:val="single" w:sz="8" w:space="0" w:color="auto"/>
            </w:tcBorders>
            <w:shd w:val="clear" w:color="auto" w:fill="F2F2F2"/>
            <w:noWrap/>
            <w:vAlign w:val="center"/>
            <w:hideMark/>
          </w:tcPr>
          <w:p w14:paraId="685051CC"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8" w:space="0" w:color="auto"/>
              <w:right w:val="single" w:sz="8" w:space="0" w:color="auto"/>
            </w:tcBorders>
            <w:shd w:val="clear" w:color="auto" w:fill="F2F2F2"/>
            <w:noWrap/>
            <w:vAlign w:val="center"/>
            <w:hideMark/>
          </w:tcPr>
          <w:p w14:paraId="6C5EED67"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8" w:space="0" w:color="auto"/>
              <w:right w:val="single" w:sz="8" w:space="0" w:color="auto"/>
            </w:tcBorders>
            <w:shd w:val="clear" w:color="auto" w:fill="F2F2F2"/>
            <w:noWrap/>
            <w:vAlign w:val="center"/>
            <w:hideMark/>
          </w:tcPr>
          <w:p w14:paraId="10C670A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33037F" w14:paraId="3B48A141"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4632B792"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268" w:type="dxa"/>
            <w:tcBorders>
              <w:top w:val="nil"/>
              <w:left w:val="nil"/>
              <w:bottom w:val="single" w:sz="8" w:space="0" w:color="auto"/>
              <w:right w:val="single" w:sz="8" w:space="0" w:color="auto"/>
            </w:tcBorders>
            <w:noWrap/>
            <w:vAlign w:val="center"/>
            <w:hideMark/>
          </w:tcPr>
          <w:p w14:paraId="22B947B7"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2268" w:type="dxa"/>
            <w:tcBorders>
              <w:top w:val="nil"/>
              <w:left w:val="nil"/>
              <w:bottom w:val="single" w:sz="8" w:space="0" w:color="auto"/>
              <w:right w:val="single" w:sz="8" w:space="0" w:color="auto"/>
            </w:tcBorders>
            <w:noWrap/>
            <w:vAlign w:val="center"/>
            <w:hideMark/>
          </w:tcPr>
          <w:p w14:paraId="3900EBA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735C698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33037F" w14:paraId="1460A555" w14:textId="77777777" w:rsidTr="0033037F">
        <w:trPr>
          <w:trHeight w:val="315"/>
        </w:trPr>
        <w:tc>
          <w:tcPr>
            <w:tcW w:w="2835" w:type="dxa"/>
            <w:tcBorders>
              <w:top w:val="nil"/>
              <w:left w:val="single" w:sz="8" w:space="0" w:color="auto"/>
              <w:bottom w:val="single" w:sz="8" w:space="0" w:color="auto"/>
              <w:right w:val="single" w:sz="8" w:space="0" w:color="auto"/>
            </w:tcBorders>
            <w:noWrap/>
            <w:vAlign w:val="center"/>
            <w:hideMark/>
          </w:tcPr>
          <w:p w14:paraId="6C5F0C5C"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268" w:type="dxa"/>
            <w:tcBorders>
              <w:top w:val="nil"/>
              <w:left w:val="nil"/>
              <w:bottom w:val="single" w:sz="8" w:space="0" w:color="auto"/>
              <w:right w:val="single" w:sz="8" w:space="0" w:color="auto"/>
            </w:tcBorders>
            <w:noWrap/>
            <w:vAlign w:val="center"/>
            <w:hideMark/>
          </w:tcPr>
          <w:p w14:paraId="156A05C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1F6C93E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23732BB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0E1147D2" w14:textId="77777777" w:rsidTr="0033037F">
        <w:trPr>
          <w:trHeight w:val="484"/>
        </w:trPr>
        <w:tc>
          <w:tcPr>
            <w:tcW w:w="2835" w:type="dxa"/>
            <w:tcBorders>
              <w:top w:val="nil"/>
              <w:left w:val="single" w:sz="8" w:space="0" w:color="auto"/>
              <w:bottom w:val="single" w:sz="8" w:space="0" w:color="auto"/>
              <w:right w:val="single" w:sz="8" w:space="0" w:color="auto"/>
            </w:tcBorders>
            <w:vAlign w:val="center"/>
            <w:hideMark/>
          </w:tcPr>
          <w:p w14:paraId="5AB37AE7"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Támogatás bevétele</w:t>
            </w:r>
          </w:p>
        </w:tc>
        <w:tc>
          <w:tcPr>
            <w:tcW w:w="2268" w:type="dxa"/>
            <w:tcBorders>
              <w:top w:val="nil"/>
              <w:left w:val="nil"/>
              <w:bottom w:val="single" w:sz="8" w:space="0" w:color="auto"/>
              <w:right w:val="single" w:sz="8" w:space="0" w:color="auto"/>
            </w:tcBorders>
            <w:noWrap/>
            <w:vAlign w:val="center"/>
            <w:hideMark/>
          </w:tcPr>
          <w:p w14:paraId="327EE5A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493C390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26650F8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3373443A" w14:textId="77777777" w:rsidTr="0033037F">
        <w:trPr>
          <w:trHeight w:val="315"/>
        </w:trPr>
        <w:tc>
          <w:tcPr>
            <w:tcW w:w="2835" w:type="dxa"/>
            <w:tcBorders>
              <w:top w:val="nil"/>
              <w:left w:val="single" w:sz="8" w:space="0" w:color="auto"/>
              <w:bottom w:val="single" w:sz="8" w:space="0" w:color="auto"/>
              <w:right w:val="single" w:sz="8" w:space="0" w:color="auto"/>
            </w:tcBorders>
            <w:shd w:val="clear" w:color="auto" w:fill="F2F2F2"/>
            <w:noWrap/>
            <w:vAlign w:val="center"/>
            <w:hideMark/>
          </w:tcPr>
          <w:p w14:paraId="47FD0959"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268" w:type="dxa"/>
            <w:tcBorders>
              <w:top w:val="nil"/>
              <w:left w:val="nil"/>
              <w:bottom w:val="single" w:sz="8" w:space="0" w:color="auto"/>
              <w:right w:val="single" w:sz="8" w:space="0" w:color="auto"/>
            </w:tcBorders>
            <w:shd w:val="clear" w:color="auto" w:fill="F2F2F2"/>
            <w:noWrap/>
            <w:vAlign w:val="center"/>
            <w:hideMark/>
          </w:tcPr>
          <w:p w14:paraId="515C6ECD"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8" w:space="0" w:color="auto"/>
              <w:right w:val="single" w:sz="8" w:space="0" w:color="auto"/>
            </w:tcBorders>
            <w:shd w:val="clear" w:color="auto" w:fill="F2F2F2"/>
            <w:noWrap/>
            <w:vAlign w:val="center"/>
            <w:hideMark/>
          </w:tcPr>
          <w:p w14:paraId="621395A6"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8" w:space="0" w:color="auto"/>
              <w:right w:val="single" w:sz="8" w:space="0" w:color="auto"/>
            </w:tcBorders>
            <w:shd w:val="clear" w:color="auto" w:fill="F2F2F2"/>
            <w:noWrap/>
            <w:vAlign w:val="center"/>
            <w:hideMark/>
          </w:tcPr>
          <w:p w14:paraId="2460DFB7"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5BF487B1" w14:textId="77777777" w:rsidR="0033037F" w:rsidRDefault="0033037F" w:rsidP="0033037F">
      <w:pPr>
        <w:spacing w:line="240" w:lineRule="auto"/>
        <w:rPr>
          <w:rFonts w:asciiTheme="majorHAnsi" w:hAnsiTheme="majorHAnsi" w:cstheme="majorHAnsi"/>
          <w:b/>
          <w:sz w:val="24"/>
          <w:szCs w:val="24"/>
          <w:u w:val="single"/>
        </w:rPr>
      </w:pPr>
    </w:p>
    <w:p w14:paraId="4F066C6A" w14:textId="7D45E417"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Média Centrum</w:t>
      </w:r>
    </w:p>
    <w:p w14:paraId="7D4C328C" w14:textId="77777777" w:rsidR="0033037F" w:rsidRDefault="0033037F" w:rsidP="0033037F">
      <w:pPr>
        <w:spacing w:line="240" w:lineRule="auto"/>
        <w:rPr>
          <w:rFonts w:asciiTheme="majorHAnsi" w:hAnsiTheme="majorHAnsi" w:cstheme="majorHAnsi"/>
          <w:b/>
          <w:sz w:val="24"/>
          <w:szCs w:val="24"/>
          <w:u w:val="single"/>
        </w:rPr>
      </w:pPr>
    </w:p>
    <w:tbl>
      <w:tblPr>
        <w:tblW w:w="9498" w:type="dxa"/>
        <w:tblInd w:w="-572" w:type="dxa"/>
        <w:tblCellMar>
          <w:left w:w="70" w:type="dxa"/>
          <w:right w:w="70" w:type="dxa"/>
        </w:tblCellMar>
        <w:tblLook w:val="04A0" w:firstRow="1" w:lastRow="0" w:firstColumn="1" w:lastColumn="0" w:noHBand="0" w:noVBand="1"/>
      </w:tblPr>
      <w:tblGrid>
        <w:gridCol w:w="2835"/>
        <w:gridCol w:w="2268"/>
        <w:gridCol w:w="2410"/>
        <w:gridCol w:w="1985"/>
      </w:tblGrid>
      <w:tr w:rsidR="0033037F" w14:paraId="20958164" w14:textId="77777777" w:rsidTr="0033037F">
        <w:trPr>
          <w:trHeight w:val="900"/>
        </w:trPr>
        <w:tc>
          <w:tcPr>
            <w:tcW w:w="2835" w:type="dxa"/>
            <w:tcBorders>
              <w:top w:val="single" w:sz="4" w:space="0" w:color="auto"/>
              <w:left w:val="single" w:sz="4" w:space="0" w:color="auto"/>
              <w:bottom w:val="single" w:sz="4" w:space="0" w:color="auto"/>
              <w:right w:val="single" w:sz="4" w:space="0" w:color="auto"/>
            </w:tcBorders>
            <w:vAlign w:val="bottom"/>
            <w:hideMark/>
          </w:tcPr>
          <w:p w14:paraId="4479F38D"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Kulturális és Média Centrum előirányzat megnevezése</w:t>
            </w:r>
          </w:p>
        </w:tc>
        <w:tc>
          <w:tcPr>
            <w:tcW w:w="2268" w:type="dxa"/>
            <w:tcBorders>
              <w:top w:val="single" w:sz="4" w:space="0" w:color="auto"/>
              <w:left w:val="nil"/>
              <w:bottom w:val="single" w:sz="4" w:space="0" w:color="auto"/>
              <w:right w:val="single" w:sz="4" w:space="0" w:color="auto"/>
            </w:tcBorders>
            <w:vAlign w:val="center"/>
            <w:hideMark/>
          </w:tcPr>
          <w:p w14:paraId="15814849"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1BBEC6C1"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410" w:type="dxa"/>
            <w:tcBorders>
              <w:top w:val="single" w:sz="4" w:space="0" w:color="auto"/>
              <w:left w:val="nil"/>
              <w:bottom w:val="single" w:sz="4" w:space="0" w:color="auto"/>
              <w:right w:val="single" w:sz="4" w:space="0" w:color="auto"/>
            </w:tcBorders>
            <w:vAlign w:val="center"/>
            <w:hideMark/>
          </w:tcPr>
          <w:p w14:paraId="00DB905E"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1985" w:type="dxa"/>
            <w:tcBorders>
              <w:top w:val="single" w:sz="4" w:space="0" w:color="auto"/>
              <w:left w:val="nil"/>
              <w:bottom w:val="single" w:sz="4" w:space="0" w:color="auto"/>
              <w:right w:val="single" w:sz="4" w:space="0" w:color="auto"/>
            </w:tcBorders>
            <w:vAlign w:val="center"/>
            <w:hideMark/>
          </w:tcPr>
          <w:p w14:paraId="023E06BF"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Módosított előirányzat február</w:t>
            </w:r>
          </w:p>
        </w:tc>
      </w:tr>
      <w:tr w:rsidR="0033037F" w14:paraId="0553E6E8"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22919A8E"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268" w:type="dxa"/>
            <w:tcBorders>
              <w:top w:val="nil"/>
              <w:left w:val="nil"/>
              <w:bottom w:val="single" w:sz="4" w:space="0" w:color="auto"/>
              <w:right w:val="single" w:sz="4" w:space="0" w:color="auto"/>
            </w:tcBorders>
            <w:noWrap/>
            <w:vAlign w:val="bottom"/>
            <w:hideMark/>
          </w:tcPr>
          <w:p w14:paraId="46E2EDC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24.487.400</w:t>
            </w:r>
          </w:p>
        </w:tc>
        <w:tc>
          <w:tcPr>
            <w:tcW w:w="2410" w:type="dxa"/>
            <w:tcBorders>
              <w:top w:val="nil"/>
              <w:left w:val="nil"/>
              <w:bottom w:val="single" w:sz="4" w:space="0" w:color="auto"/>
              <w:right w:val="single" w:sz="4" w:space="0" w:color="auto"/>
            </w:tcBorders>
            <w:noWrap/>
            <w:vAlign w:val="bottom"/>
            <w:hideMark/>
          </w:tcPr>
          <w:p w14:paraId="0AC89F42"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4D926C5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24.487.400</w:t>
            </w:r>
          </w:p>
        </w:tc>
      </w:tr>
      <w:tr w:rsidR="0033037F" w14:paraId="6D85EC87"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7ECE11D1"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268" w:type="dxa"/>
            <w:tcBorders>
              <w:top w:val="nil"/>
              <w:left w:val="nil"/>
              <w:bottom w:val="single" w:sz="4" w:space="0" w:color="auto"/>
              <w:right w:val="single" w:sz="4" w:space="0" w:color="auto"/>
            </w:tcBorders>
            <w:noWrap/>
            <w:vAlign w:val="bottom"/>
            <w:hideMark/>
          </w:tcPr>
          <w:p w14:paraId="428E8054"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3.183.362</w:t>
            </w:r>
          </w:p>
        </w:tc>
        <w:tc>
          <w:tcPr>
            <w:tcW w:w="2410" w:type="dxa"/>
            <w:tcBorders>
              <w:top w:val="nil"/>
              <w:left w:val="nil"/>
              <w:bottom w:val="single" w:sz="4" w:space="0" w:color="auto"/>
              <w:right w:val="single" w:sz="4" w:space="0" w:color="auto"/>
            </w:tcBorders>
            <w:noWrap/>
            <w:vAlign w:val="bottom"/>
            <w:hideMark/>
          </w:tcPr>
          <w:p w14:paraId="6FDDE4AA"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2E9A38E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3.183.362</w:t>
            </w:r>
          </w:p>
        </w:tc>
      </w:tr>
      <w:tr w:rsidR="0033037F" w14:paraId="1EA8C016"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45CFE57D"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268" w:type="dxa"/>
            <w:tcBorders>
              <w:top w:val="nil"/>
              <w:left w:val="nil"/>
              <w:bottom w:val="single" w:sz="4" w:space="0" w:color="auto"/>
              <w:right w:val="single" w:sz="4" w:space="0" w:color="auto"/>
            </w:tcBorders>
            <w:noWrap/>
            <w:vAlign w:val="bottom"/>
            <w:hideMark/>
          </w:tcPr>
          <w:p w14:paraId="53A3BC5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21.379.238</w:t>
            </w:r>
          </w:p>
        </w:tc>
        <w:tc>
          <w:tcPr>
            <w:tcW w:w="2410" w:type="dxa"/>
            <w:tcBorders>
              <w:top w:val="nil"/>
              <w:left w:val="nil"/>
              <w:bottom w:val="single" w:sz="4" w:space="0" w:color="auto"/>
              <w:right w:val="single" w:sz="4" w:space="0" w:color="auto"/>
            </w:tcBorders>
            <w:noWrap/>
            <w:vAlign w:val="bottom"/>
            <w:hideMark/>
          </w:tcPr>
          <w:p w14:paraId="4B7DE7F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3839DB8F"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21.379.238</w:t>
            </w:r>
          </w:p>
        </w:tc>
      </w:tr>
      <w:tr w:rsidR="0033037F" w14:paraId="53A9F55C"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4ADDDC3D"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268" w:type="dxa"/>
            <w:tcBorders>
              <w:top w:val="nil"/>
              <w:left w:val="nil"/>
              <w:bottom w:val="single" w:sz="4" w:space="0" w:color="auto"/>
              <w:right w:val="single" w:sz="4" w:space="0" w:color="auto"/>
            </w:tcBorders>
            <w:noWrap/>
            <w:vAlign w:val="bottom"/>
            <w:hideMark/>
          </w:tcPr>
          <w:p w14:paraId="3C56FE9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7072501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6C7806C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428FA032"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3A36B33F"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268" w:type="dxa"/>
            <w:tcBorders>
              <w:top w:val="nil"/>
              <w:left w:val="nil"/>
              <w:bottom w:val="single" w:sz="4" w:space="0" w:color="auto"/>
              <w:right w:val="single" w:sz="4" w:space="0" w:color="auto"/>
            </w:tcBorders>
            <w:noWrap/>
            <w:vAlign w:val="bottom"/>
            <w:hideMark/>
          </w:tcPr>
          <w:p w14:paraId="5F875625"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600B69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446A717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3C2D108C"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1B018053"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268" w:type="dxa"/>
            <w:tcBorders>
              <w:top w:val="nil"/>
              <w:left w:val="nil"/>
              <w:bottom w:val="single" w:sz="4" w:space="0" w:color="auto"/>
              <w:right w:val="single" w:sz="4" w:space="0" w:color="auto"/>
            </w:tcBorders>
            <w:shd w:val="clear" w:color="auto" w:fill="F2F2F2"/>
            <w:noWrap/>
            <w:vAlign w:val="bottom"/>
            <w:hideMark/>
          </w:tcPr>
          <w:p w14:paraId="23A4A1AF"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410" w:type="dxa"/>
            <w:tcBorders>
              <w:top w:val="nil"/>
              <w:left w:val="nil"/>
              <w:bottom w:val="single" w:sz="4" w:space="0" w:color="auto"/>
              <w:right w:val="single" w:sz="4" w:space="0" w:color="auto"/>
            </w:tcBorders>
            <w:shd w:val="clear" w:color="auto" w:fill="F2F2F2"/>
            <w:noWrap/>
            <w:vAlign w:val="bottom"/>
            <w:hideMark/>
          </w:tcPr>
          <w:p w14:paraId="7DDB6C8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1985" w:type="dxa"/>
            <w:tcBorders>
              <w:top w:val="nil"/>
              <w:left w:val="nil"/>
              <w:bottom w:val="single" w:sz="4" w:space="0" w:color="auto"/>
              <w:right w:val="single" w:sz="4" w:space="0" w:color="auto"/>
            </w:tcBorders>
            <w:shd w:val="clear" w:color="auto" w:fill="F2F2F2"/>
            <w:noWrap/>
            <w:vAlign w:val="bottom"/>
            <w:hideMark/>
          </w:tcPr>
          <w:p w14:paraId="65DF2220"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33037F" w14:paraId="739570D7"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27E0AC6B"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268" w:type="dxa"/>
            <w:tcBorders>
              <w:top w:val="nil"/>
              <w:left w:val="nil"/>
              <w:bottom w:val="single" w:sz="4" w:space="0" w:color="auto"/>
              <w:right w:val="single" w:sz="4" w:space="0" w:color="auto"/>
            </w:tcBorders>
            <w:noWrap/>
            <w:vAlign w:val="bottom"/>
            <w:hideMark/>
          </w:tcPr>
          <w:p w14:paraId="71434B60"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2410" w:type="dxa"/>
            <w:tcBorders>
              <w:top w:val="nil"/>
              <w:left w:val="nil"/>
              <w:bottom w:val="single" w:sz="4" w:space="0" w:color="auto"/>
              <w:right w:val="single" w:sz="4" w:space="0" w:color="auto"/>
            </w:tcBorders>
            <w:noWrap/>
            <w:vAlign w:val="bottom"/>
            <w:hideMark/>
          </w:tcPr>
          <w:p w14:paraId="3DAF9F28"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15798FFC"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33037F" w14:paraId="6E459D3F" w14:textId="77777777" w:rsidTr="0033037F">
        <w:trPr>
          <w:trHeight w:val="300"/>
        </w:trPr>
        <w:tc>
          <w:tcPr>
            <w:tcW w:w="2835" w:type="dxa"/>
            <w:tcBorders>
              <w:top w:val="nil"/>
              <w:left w:val="single" w:sz="4" w:space="0" w:color="auto"/>
              <w:bottom w:val="single" w:sz="4" w:space="0" w:color="auto"/>
              <w:right w:val="single" w:sz="4" w:space="0" w:color="auto"/>
            </w:tcBorders>
            <w:noWrap/>
            <w:vAlign w:val="bottom"/>
            <w:hideMark/>
          </w:tcPr>
          <w:p w14:paraId="4716CE15"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268" w:type="dxa"/>
            <w:tcBorders>
              <w:top w:val="nil"/>
              <w:left w:val="nil"/>
              <w:bottom w:val="single" w:sz="4" w:space="0" w:color="auto"/>
              <w:right w:val="single" w:sz="4" w:space="0" w:color="auto"/>
            </w:tcBorders>
            <w:noWrap/>
            <w:vAlign w:val="bottom"/>
            <w:hideMark/>
          </w:tcPr>
          <w:p w14:paraId="50ECDDB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2A02600B"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382B401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4F4FBCBF" w14:textId="77777777" w:rsidTr="0033037F">
        <w:trPr>
          <w:trHeight w:val="465"/>
        </w:trPr>
        <w:tc>
          <w:tcPr>
            <w:tcW w:w="2835" w:type="dxa"/>
            <w:tcBorders>
              <w:top w:val="nil"/>
              <w:left w:val="single" w:sz="4" w:space="0" w:color="auto"/>
              <w:bottom w:val="single" w:sz="4" w:space="0" w:color="auto"/>
              <w:right w:val="single" w:sz="4" w:space="0" w:color="auto"/>
            </w:tcBorders>
            <w:vAlign w:val="bottom"/>
            <w:hideMark/>
          </w:tcPr>
          <w:p w14:paraId="7FAE6841" w14:textId="77777777" w:rsidR="0033037F" w:rsidRDefault="0033037F">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bevétel</w:t>
            </w:r>
          </w:p>
        </w:tc>
        <w:tc>
          <w:tcPr>
            <w:tcW w:w="2268" w:type="dxa"/>
            <w:tcBorders>
              <w:top w:val="nil"/>
              <w:left w:val="nil"/>
              <w:bottom w:val="single" w:sz="4" w:space="0" w:color="auto"/>
              <w:right w:val="single" w:sz="4" w:space="0" w:color="auto"/>
            </w:tcBorders>
            <w:noWrap/>
            <w:vAlign w:val="bottom"/>
            <w:hideMark/>
          </w:tcPr>
          <w:p w14:paraId="60E274E1"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AAAD1E6"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5" w:type="dxa"/>
            <w:tcBorders>
              <w:top w:val="nil"/>
              <w:left w:val="nil"/>
              <w:bottom w:val="single" w:sz="4" w:space="0" w:color="auto"/>
              <w:right w:val="single" w:sz="4" w:space="0" w:color="auto"/>
            </w:tcBorders>
            <w:noWrap/>
            <w:vAlign w:val="bottom"/>
            <w:hideMark/>
          </w:tcPr>
          <w:p w14:paraId="36434F8E" w14:textId="77777777" w:rsidR="0033037F" w:rsidRDefault="0033037F">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33037F" w14:paraId="1B1F137B" w14:textId="77777777" w:rsidTr="0033037F">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4108D423" w14:textId="77777777" w:rsidR="0033037F" w:rsidRDefault="0033037F">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268" w:type="dxa"/>
            <w:tcBorders>
              <w:top w:val="nil"/>
              <w:left w:val="nil"/>
              <w:bottom w:val="single" w:sz="4" w:space="0" w:color="auto"/>
              <w:right w:val="single" w:sz="4" w:space="0" w:color="auto"/>
            </w:tcBorders>
            <w:shd w:val="clear" w:color="auto" w:fill="F2F2F2"/>
            <w:noWrap/>
            <w:vAlign w:val="bottom"/>
            <w:hideMark/>
          </w:tcPr>
          <w:p w14:paraId="0ABF1A03"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410" w:type="dxa"/>
            <w:tcBorders>
              <w:top w:val="nil"/>
              <w:left w:val="nil"/>
              <w:bottom w:val="single" w:sz="4" w:space="0" w:color="auto"/>
              <w:right w:val="single" w:sz="4" w:space="0" w:color="auto"/>
            </w:tcBorders>
            <w:shd w:val="clear" w:color="auto" w:fill="F2F2F2"/>
            <w:noWrap/>
            <w:vAlign w:val="bottom"/>
            <w:hideMark/>
          </w:tcPr>
          <w:p w14:paraId="605589A7"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1985" w:type="dxa"/>
            <w:tcBorders>
              <w:top w:val="nil"/>
              <w:left w:val="nil"/>
              <w:bottom w:val="single" w:sz="4" w:space="0" w:color="auto"/>
              <w:right w:val="single" w:sz="4" w:space="0" w:color="auto"/>
            </w:tcBorders>
            <w:shd w:val="clear" w:color="auto" w:fill="F2F2F2"/>
            <w:noWrap/>
            <w:vAlign w:val="bottom"/>
            <w:hideMark/>
          </w:tcPr>
          <w:p w14:paraId="4C8EBE1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123B2616" w14:textId="77777777" w:rsidR="0033037F" w:rsidRDefault="0033037F" w:rsidP="0033037F">
      <w:pPr>
        <w:spacing w:line="240" w:lineRule="auto"/>
        <w:jc w:val="center"/>
        <w:rPr>
          <w:rFonts w:asciiTheme="majorHAnsi" w:hAnsiTheme="majorHAnsi" w:cstheme="majorHAnsi"/>
          <w:b/>
          <w:sz w:val="24"/>
          <w:szCs w:val="24"/>
          <w:u w:val="single"/>
        </w:rPr>
      </w:pPr>
    </w:p>
    <w:p w14:paraId="693EE624" w14:textId="069ED71D" w:rsidR="0033037F" w:rsidRPr="0033037F" w:rsidRDefault="0033037F" w:rsidP="0033037F">
      <w:pPr>
        <w:pStyle w:val="Default"/>
        <w:ind w:left="-567" w:right="-283"/>
        <w:jc w:val="both"/>
        <w:rPr>
          <w:rFonts w:asciiTheme="majorHAnsi" w:hAnsiTheme="majorHAnsi" w:cstheme="majorHAnsi"/>
          <w:sz w:val="23"/>
          <w:szCs w:val="23"/>
        </w:rPr>
      </w:pPr>
      <w:r>
        <w:rPr>
          <w:rFonts w:asciiTheme="majorHAnsi" w:hAnsiTheme="majorHAnsi" w:cstheme="majorHAnsi"/>
          <w:sz w:val="23"/>
          <w:szCs w:val="23"/>
        </w:rPr>
        <w:t xml:space="preserve">Roma nemzetiségi kulturális kezdeményezések 2026. évi költségvetési támogatására" címmel kiírt nyílt pályázatán az Országos Roma Kulturális és Média Centrum pályázatot nyújtott be, sikeres pályázat esetén az intézmény költségvetését ismét módosítani kell. </w:t>
      </w:r>
    </w:p>
    <w:p w14:paraId="2D0FF54E" w14:textId="77777777" w:rsidR="0033037F" w:rsidRDefault="0033037F" w:rsidP="0033037F">
      <w:pPr>
        <w:spacing w:line="240" w:lineRule="auto"/>
        <w:jc w:val="center"/>
        <w:rPr>
          <w:rFonts w:asciiTheme="majorHAnsi" w:hAnsiTheme="majorHAnsi" w:cstheme="majorHAnsi"/>
          <w:b/>
          <w:sz w:val="24"/>
          <w:szCs w:val="24"/>
          <w:u w:val="single"/>
        </w:rPr>
      </w:pPr>
    </w:p>
    <w:p w14:paraId="58427F56" w14:textId="77777777" w:rsidR="0033037F" w:rsidRDefault="0033037F" w:rsidP="0033037F">
      <w:pPr>
        <w:spacing w:line="240" w:lineRule="auto"/>
        <w:jc w:val="center"/>
        <w:rPr>
          <w:rFonts w:asciiTheme="majorHAnsi" w:hAnsiTheme="majorHAnsi" w:cstheme="majorHAnsi"/>
          <w:b/>
          <w:sz w:val="24"/>
          <w:szCs w:val="24"/>
          <w:u w:val="single"/>
        </w:rPr>
      </w:pPr>
      <w:r>
        <w:rPr>
          <w:rFonts w:asciiTheme="majorHAnsi" w:hAnsiTheme="majorHAnsi" w:cstheme="majorHAnsi"/>
          <w:b/>
          <w:sz w:val="24"/>
          <w:szCs w:val="24"/>
          <w:u w:val="single"/>
        </w:rPr>
        <w:t>Magyarországi Romák Országos Önkormányzata fenntartásában működő köznevelési intézmények 2026. évi költségvetése</w:t>
      </w:r>
    </w:p>
    <w:p w14:paraId="0A1BE375" w14:textId="77777777" w:rsidR="0033037F" w:rsidRDefault="0033037F" w:rsidP="0033037F">
      <w:pPr>
        <w:pStyle w:val="Nincstrkz"/>
        <w:jc w:val="both"/>
        <w:rPr>
          <w:rFonts w:asciiTheme="majorHAnsi" w:hAnsiTheme="majorHAnsi" w:cstheme="majorHAnsi"/>
          <w:b/>
          <w:sz w:val="24"/>
          <w:szCs w:val="24"/>
          <w:u w:val="single"/>
        </w:rPr>
      </w:pPr>
    </w:p>
    <w:p w14:paraId="6AF1B17B" w14:textId="4B128E33"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Teleki József Általános Iskola és Szakképző Iskola Szirák</w:t>
      </w:r>
    </w:p>
    <w:p w14:paraId="21E61CC3" w14:textId="77777777" w:rsidR="0033037F" w:rsidRDefault="0033037F" w:rsidP="0033037F">
      <w:pPr>
        <w:spacing w:line="240" w:lineRule="auto"/>
        <w:rPr>
          <w:rFonts w:asciiTheme="majorHAnsi" w:hAnsiTheme="majorHAnsi" w:cstheme="majorHAnsi"/>
          <w:b/>
          <w:sz w:val="24"/>
          <w:szCs w:val="24"/>
          <w:u w:val="single"/>
        </w:rPr>
      </w:pPr>
    </w:p>
    <w:tbl>
      <w:tblPr>
        <w:tblW w:w="9639" w:type="dxa"/>
        <w:tblInd w:w="-572" w:type="dxa"/>
        <w:tblCellMar>
          <w:left w:w="70" w:type="dxa"/>
          <w:right w:w="70" w:type="dxa"/>
        </w:tblCellMar>
        <w:tblLook w:val="04A0" w:firstRow="1" w:lastRow="0" w:firstColumn="1" w:lastColumn="0" w:noHBand="0" w:noVBand="1"/>
      </w:tblPr>
      <w:tblGrid>
        <w:gridCol w:w="3387"/>
        <w:gridCol w:w="1858"/>
        <w:gridCol w:w="2268"/>
        <w:gridCol w:w="2126"/>
      </w:tblGrid>
      <w:tr w:rsidR="0033037F" w14:paraId="6EE31E67" w14:textId="77777777" w:rsidTr="0033037F">
        <w:trPr>
          <w:trHeight w:val="900"/>
        </w:trPr>
        <w:tc>
          <w:tcPr>
            <w:tcW w:w="3387" w:type="dxa"/>
            <w:tcBorders>
              <w:top w:val="single" w:sz="4" w:space="0" w:color="auto"/>
              <w:left w:val="single" w:sz="4" w:space="0" w:color="auto"/>
              <w:bottom w:val="single" w:sz="4" w:space="0" w:color="auto"/>
              <w:right w:val="single" w:sz="4" w:space="0" w:color="auto"/>
            </w:tcBorders>
            <w:vAlign w:val="bottom"/>
            <w:hideMark/>
          </w:tcPr>
          <w:p w14:paraId="55329B71"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Teleki József Általános Iskola és Szakképző Iskola előirányzat megnevezése</w:t>
            </w:r>
          </w:p>
        </w:tc>
        <w:tc>
          <w:tcPr>
            <w:tcW w:w="1858" w:type="dxa"/>
            <w:tcBorders>
              <w:top w:val="single" w:sz="4" w:space="0" w:color="auto"/>
              <w:left w:val="nil"/>
              <w:bottom w:val="single" w:sz="4" w:space="0" w:color="auto"/>
              <w:right w:val="single" w:sz="4" w:space="0" w:color="auto"/>
            </w:tcBorders>
            <w:vAlign w:val="center"/>
            <w:hideMark/>
          </w:tcPr>
          <w:p w14:paraId="11821D4A"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47AA4E30"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4" w:space="0" w:color="auto"/>
              <w:left w:val="nil"/>
              <w:bottom w:val="single" w:sz="4" w:space="0" w:color="auto"/>
              <w:right w:val="single" w:sz="4" w:space="0" w:color="auto"/>
            </w:tcBorders>
            <w:vAlign w:val="center"/>
            <w:hideMark/>
          </w:tcPr>
          <w:p w14:paraId="6B866B04"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126" w:type="dxa"/>
            <w:tcBorders>
              <w:top w:val="single" w:sz="4" w:space="0" w:color="auto"/>
              <w:left w:val="nil"/>
              <w:bottom w:val="single" w:sz="4" w:space="0" w:color="auto"/>
              <w:right w:val="single" w:sz="4" w:space="0" w:color="auto"/>
            </w:tcBorders>
            <w:vAlign w:val="center"/>
            <w:hideMark/>
          </w:tcPr>
          <w:p w14:paraId="1EC461A8"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Módosított előirányzat február</w:t>
            </w:r>
          </w:p>
        </w:tc>
      </w:tr>
      <w:tr w:rsidR="0033037F" w14:paraId="4B0981A4"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1A125459"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Személyi juttatások</w:t>
            </w:r>
          </w:p>
        </w:tc>
        <w:tc>
          <w:tcPr>
            <w:tcW w:w="1858" w:type="dxa"/>
            <w:tcBorders>
              <w:top w:val="nil"/>
              <w:left w:val="nil"/>
              <w:bottom w:val="single" w:sz="4" w:space="0" w:color="auto"/>
              <w:right w:val="single" w:sz="4" w:space="0" w:color="auto"/>
            </w:tcBorders>
            <w:noWrap/>
            <w:vAlign w:val="bottom"/>
            <w:hideMark/>
          </w:tcPr>
          <w:p w14:paraId="4C3AA8C8"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263.667.000</w:t>
            </w:r>
          </w:p>
        </w:tc>
        <w:tc>
          <w:tcPr>
            <w:tcW w:w="2268" w:type="dxa"/>
            <w:tcBorders>
              <w:top w:val="nil"/>
              <w:left w:val="nil"/>
              <w:bottom w:val="single" w:sz="4" w:space="0" w:color="auto"/>
              <w:right w:val="single" w:sz="4" w:space="0" w:color="auto"/>
            </w:tcBorders>
            <w:noWrap/>
            <w:vAlign w:val="bottom"/>
            <w:hideMark/>
          </w:tcPr>
          <w:p w14:paraId="0169E151"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55F5A00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263.667.000</w:t>
            </w:r>
          </w:p>
        </w:tc>
      </w:tr>
      <w:tr w:rsidR="0033037F" w14:paraId="5D3F7A48"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46BF45FF"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Munkaadót terhelő járulékok</w:t>
            </w:r>
          </w:p>
        </w:tc>
        <w:tc>
          <w:tcPr>
            <w:tcW w:w="1858" w:type="dxa"/>
            <w:tcBorders>
              <w:top w:val="nil"/>
              <w:left w:val="nil"/>
              <w:bottom w:val="single" w:sz="4" w:space="0" w:color="auto"/>
              <w:right w:val="single" w:sz="4" w:space="0" w:color="auto"/>
            </w:tcBorders>
            <w:noWrap/>
            <w:vAlign w:val="bottom"/>
            <w:hideMark/>
          </w:tcPr>
          <w:p w14:paraId="32ED242D"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34.277.000</w:t>
            </w:r>
          </w:p>
        </w:tc>
        <w:tc>
          <w:tcPr>
            <w:tcW w:w="2268" w:type="dxa"/>
            <w:tcBorders>
              <w:top w:val="nil"/>
              <w:left w:val="nil"/>
              <w:bottom w:val="single" w:sz="4" w:space="0" w:color="auto"/>
              <w:right w:val="single" w:sz="4" w:space="0" w:color="auto"/>
            </w:tcBorders>
            <w:noWrap/>
            <w:vAlign w:val="bottom"/>
            <w:hideMark/>
          </w:tcPr>
          <w:p w14:paraId="4E919256"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1A7CBB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34.277.000</w:t>
            </w:r>
          </w:p>
        </w:tc>
      </w:tr>
      <w:tr w:rsidR="0033037F" w14:paraId="5FE612DF"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67430295"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Dologi kiadások</w:t>
            </w:r>
          </w:p>
        </w:tc>
        <w:tc>
          <w:tcPr>
            <w:tcW w:w="1858" w:type="dxa"/>
            <w:tcBorders>
              <w:top w:val="nil"/>
              <w:left w:val="nil"/>
              <w:bottom w:val="single" w:sz="4" w:space="0" w:color="auto"/>
              <w:right w:val="single" w:sz="4" w:space="0" w:color="auto"/>
            </w:tcBorders>
            <w:noWrap/>
            <w:vAlign w:val="bottom"/>
            <w:hideMark/>
          </w:tcPr>
          <w:p w14:paraId="10C6F396"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24.797.000</w:t>
            </w:r>
          </w:p>
        </w:tc>
        <w:tc>
          <w:tcPr>
            <w:tcW w:w="2268" w:type="dxa"/>
            <w:tcBorders>
              <w:top w:val="nil"/>
              <w:left w:val="nil"/>
              <w:bottom w:val="single" w:sz="4" w:space="0" w:color="auto"/>
              <w:right w:val="single" w:sz="4" w:space="0" w:color="auto"/>
            </w:tcBorders>
            <w:noWrap/>
            <w:vAlign w:val="bottom"/>
            <w:hideMark/>
          </w:tcPr>
          <w:p w14:paraId="3B7B72B8"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9ECE3A6"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24.797.000</w:t>
            </w:r>
          </w:p>
        </w:tc>
      </w:tr>
      <w:tr w:rsidR="0033037F" w14:paraId="3C530A0F"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186EDE5D"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Felhalmozási célú kiadások</w:t>
            </w:r>
          </w:p>
        </w:tc>
        <w:tc>
          <w:tcPr>
            <w:tcW w:w="1858" w:type="dxa"/>
            <w:tcBorders>
              <w:top w:val="nil"/>
              <w:left w:val="nil"/>
              <w:bottom w:val="single" w:sz="4" w:space="0" w:color="auto"/>
              <w:right w:val="single" w:sz="4" w:space="0" w:color="auto"/>
            </w:tcBorders>
            <w:noWrap/>
            <w:vAlign w:val="bottom"/>
            <w:hideMark/>
          </w:tcPr>
          <w:p w14:paraId="70555818"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5218768"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2546FD5"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76A31B87"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58B5A675"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Finanszírozási kiadások</w:t>
            </w:r>
          </w:p>
        </w:tc>
        <w:tc>
          <w:tcPr>
            <w:tcW w:w="1858" w:type="dxa"/>
            <w:tcBorders>
              <w:top w:val="nil"/>
              <w:left w:val="nil"/>
              <w:bottom w:val="single" w:sz="4" w:space="0" w:color="auto"/>
              <w:right w:val="single" w:sz="4" w:space="0" w:color="auto"/>
            </w:tcBorders>
            <w:noWrap/>
            <w:vAlign w:val="bottom"/>
            <w:hideMark/>
          </w:tcPr>
          <w:p w14:paraId="4BBFBB82"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5893E60"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D2A9BAD"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730CABA4" w14:textId="77777777" w:rsidTr="0033037F">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6A640885"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KIADÁSOK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1AA7C789"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c>
          <w:tcPr>
            <w:tcW w:w="2268" w:type="dxa"/>
            <w:tcBorders>
              <w:top w:val="nil"/>
              <w:left w:val="nil"/>
              <w:bottom w:val="single" w:sz="4" w:space="0" w:color="auto"/>
              <w:right w:val="single" w:sz="4" w:space="0" w:color="auto"/>
            </w:tcBorders>
            <w:shd w:val="clear" w:color="auto" w:fill="F2F2F2"/>
            <w:noWrap/>
            <w:vAlign w:val="bottom"/>
            <w:hideMark/>
          </w:tcPr>
          <w:p w14:paraId="319E97DB"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0</w:t>
            </w:r>
          </w:p>
        </w:tc>
        <w:tc>
          <w:tcPr>
            <w:tcW w:w="2126" w:type="dxa"/>
            <w:tcBorders>
              <w:top w:val="nil"/>
              <w:left w:val="nil"/>
              <w:bottom w:val="single" w:sz="4" w:space="0" w:color="auto"/>
              <w:right w:val="single" w:sz="4" w:space="0" w:color="auto"/>
            </w:tcBorders>
            <w:shd w:val="clear" w:color="auto" w:fill="F2F2F2"/>
            <w:noWrap/>
            <w:vAlign w:val="bottom"/>
            <w:hideMark/>
          </w:tcPr>
          <w:p w14:paraId="2C34722B"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r>
      <w:tr w:rsidR="0033037F" w14:paraId="788EAEC7"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4821B27B"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Intézményfinanszírozás bevétele</w:t>
            </w:r>
          </w:p>
        </w:tc>
        <w:tc>
          <w:tcPr>
            <w:tcW w:w="1858" w:type="dxa"/>
            <w:tcBorders>
              <w:top w:val="nil"/>
              <w:left w:val="nil"/>
              <w:bottom w:val="single" w:sz="4" w:space="0" w:color="auto"/>
              <w:right w:val="single" w:sz="4" w:space="0" w:color="auto"/>
            </w:tcBorders>
            <w:noWrap/>
            <w:vAlign w:val="bottom"/>
            <w:hideMark/>
          </w:tcPr>
          <w:p w14:paraId="4FC8F4EB"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322.741.000</w:t>
            </w:r>
          </w:p>
        </w:tc>
        <w:tc>
          <w:tcPr>
            <w:tcW w:w="2268" w:type="dxa"/>
            <w:tcBorders>
              <w:top w:val="nil"/>
              <w:left w:val="nil"/>
              <w:bottom w:val="single" w:sz="4" w:space="0" w:color="auto"/>
              <w:right w:val="single" w:sz="4" w:space="0" w:color="auto"/>
            </w:tcBorders>
            <w:noWrap/>
            <w:vAlign w:val="bottom"/>
            <w:hideMark/>
          </w:tcPr>
          <w:p w14:paraId="6B68CC36"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E6F2296"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322.741.000</w:t>
            </w:r>
          </w:p>
        </w:tc>
      </w:tr>
      <w:tr w:rsidR="0033037F" w14:paraId="06A55723"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14D403C7"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 xml:space="preserve">Egyéb mc. Támogatás bevétele </w:t>
            </w:r>
          </w:p>
        </w:tc>
        <w:tc>
          <w:tcPr>
            <w:tcW w:w="1858" w:type="dxa"/>
            <w:tcBorders>
              <w:top w:val="nil"/>
              <w:left w:val="nil"/>
              <w:bottom w:val="single" w:sz="4" w:space="0" w:color="auto"/>
              <w:right w:val="single" w:sz="4" w:space="0" w:color="auto"/>
            </w:tcBorders>
            <w:noWrap/>
            <w:vAlign w:val="bottom"/>
            <w:hideMark/>
          </w:tcPr>
          <w:p w14:paraId="24A1A9F5"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6901EC7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9D9E14F"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6F4F90BC" w14:textId="77777777" w:rsidTr="0033037F">
        <w:trPr>
          <w:trHeight w:val="465"/>
        </w:trPr>
        <w:tc>
          <w:tcPr>
            <w:tcW w:w="3387" w:type="dxa"/>
            <w:tcBorders>
              <w:top w:val="nil"/>
              <w:left w:val="single" w:sz="4" w:space="0" w:color="auto"/>
              <w:bottom w:val="single" w:sz="4" w:space="0" w:color="auto"/>
              <w:right w:val="single" w:sz="4" w:space="0" w:color="auto"/>
            </w:tcBorders>
            <w:vAlign w:val="bottom"/>
            <w:hideMark/>
          </w:tcPr>
          <w:p w14:paraId="100C9F7A"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Egyéb mc.  bevétel</w:t>
            </w:r>
          </w:p>
        </w:tc>
        <w:tc>
          <w:tcPr>
            <w:tcW w:w="1858" w:type="dxa"/>
            <w:tcBorders>
              <w:top w:val="nil"/>
              <w:left w:val="nil"/>
              <w:bottom w:val="single" w:sz="4" w:space="0" w:color="auto"/>
              <w:right w:val="single" w:sz="4" w:space="0" w:color="auto"/>
            </w:tcBorders>
            <w:noWrap/>
            <w:vAlign w:val="bottom"/>
            <w:hideMark/>
          </w:tcPr>
          <w:p w14:paraId="4F4EC2EB"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B9882AC"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4D9B708"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0B06E203" w14:textId="77777777" w:rsidTr="0033037F">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5A706C8A"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BEVÉTELEK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2600C7DF"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c>
          <w:tcPr>
            <w:tcW w:w="2268" w:type="dxa"/>
            <w:tcBorders>
              <w:top w:val="nil"/>
              <w:left w:val="nil"/>
              <w:bottom w:val="single" w:sz="4" w:space="0" w:color="auto"/>
              <w:right w:val="single" w:sz="4" w:space="0" w:color="auto"/>
            </w:tcBorders>
            <w:shd w:val="clear" w:color="auto" w:fill="F2F2F2"/>
            <w:noWrap/>
            <w:vAlign w:val="bottom"/>
            <w:hideMark/>
          </w:tcPr>
          <w:p w14:paraId="07007268"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0</w:t>
            </w:r>
          </w:p>
        </w:tc>
        <w:tc>
          <w:tcPr>
            <w:tcW w:w="2126" w:type="dxa"/>
            <w:tcBorders>
              <w:top w:val="nil"/>
              <w:left w:val="nil"/>
              <w:bottom w:val="single" w:sz="4" w:space="0" w:color="auto"/>
              <w:right w:val="single" w:sz="4" w:space="0" w:color="auto"/>
            </w:tcBorders>
            <w:shd w:val="clear" w:color="auto" w:fill="F2F2F2"/>
            <w:noWrap/>
            <w:vAlign w:val="bottom"/>
            <w:hideMark/>
          </w:tcPr>
          <w:p w14:paraId="3731C2B1"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r>
    </w:tbl>
    <w:p w14:paraId="7310156B" w14:textId="13EA1D57" w:rsidR="0033037F" w:rsidRDefault="0033037F" w:rsidP="0033037F">
      <w:pPr>
        <w:spacing w:line="240" w:lineRule="auto"/>
        <w:rPr>
          <w:rFonts w:asciiTheme="majorHAnsi" w:hAnsiTheme="majorHAnsi" w:cstheme="majorHAnsi"/>
          <w:b/>
          <w:sz w:val="24"/>
          <w:szCs w:val="24"/>
          <w:u w:val="single"/>
        </w:rPr>
      </w:pPr>
    </w:p>
    <w:p w14:paraId="3CFFD5A9" w14:textId="17744470" w:rsidR="0033037F" w:rsidRDefault="0033037F" w:rsidP="0033037F">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lastRenderedPageBreak/>
        <w:t>Tiszapüspöki Általános Iskola</w:t>
      </w:r>
    </w:p>
    <w:p w14:paraId="62722825" w14:textId="77777777" w:rsidR="0033037F" w:rsidRDefault="0033037F" w:rsidP="0033037F">
      <w:pPr>
        <w:spacing w:line="240" w:lineRule="auto"/>
        <w:rPr>
          <w:rFonts w:asciiTheme="majorHAnsi" w:hAnsiTheme="majorHAnsi" w:cstheme="majorHAnsi"/>
          <w:b/>
          <w:sz w:val="24"/>
          <w:szCs w:val="24"/>
          <w:u w:val="single"/>
        </w:rPr>
      </w:pPr>
    </w:p>
    <w:tbl>
      <w:tblPr>
        <w:tblW w:w="9639" w:type="dxa"/>
        <w:tblInd w:w="-572" w:type="dxa"/>
        <w:tblCellMar>
          <w:left w:w="70" w:type="dxa"/>
          <w:right w:w="70" w:type="dxa"/>
        </w:tblCellMar>
        <w:tblLook w:val="04A0" w:firstRow="1" w:lastRow="0" w:firstColumn="1" w:lastColumn="0" w:noHBand="0" w:noVBand="1"/>
      </w:tblPr>
      <w:tblGrid>
        <w:gridCol w:w="3387"/>
        <w:gridCol w:w="1858"/>
        <w:gridCol w:w="2268"/>
        <w:gridCol w:w="2126"/>
      </w:tblGrid>
      <w:tr w:rsidR="0033037F" w14:paraId="560695D6" w14:textId="77777777" w:rsidTr="0033037F">
        <w:trPr>
          <w:trHeight w:val="900"/>
        </w:trPr>
        <w:tc>
          <w:tcPr>
            <w:tcW w:w="3387" w:type="dxa"/>
            <w:tcBorders>
              <w:top w:val="single" w:sz="4" w:space="0" w:color="auto"/>
              <w:left w:val="single" w:sz="4" w:space="0" w:color="auto"/>
              <w:bottom w:val="single" w:sz="4" w:space="0" w:color="auto"/>
              <w:right w:val="single" w:sz="4" w:space="0" w:color="auto"/>
            </w:tcBorders>
            <w:vAlign w:val="bottom"/>
            <w:hideMark/>
          </w:tcPr>
          <w:p w14:paraId="3DB48398"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Tiszapüspöki Általános Iskola előirányzat megnevezése</w:t>
            </w:r>
          </w:p>
        </w:tc>
        <w:tc>
          <w:tcPr>
            <w:tcW w:w="1858" w:type="dxa"/>
            <w:tcBorders>
              <w:top w:val="single" w:sz="4" w:space="0" w:color="auto"/>
              <w:left w:val="nil"/>
              <w:bottom w:val="single" w:sz="4" w:space="0" w:color="auto"/>
              <w:right w:val="single" w:sz="4" w:space="0" w:color="auto"/>
            </w:tcBorders>
            <w:vAlign w:val="center"/>
            <w:hideMark/>
          </w:tcPr>
          <w:p w14:paraId="512937D5" w14:textId="77777777" w:rsidR="0033037F" w:rsidRDefault="0033037F">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354FC983"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4" w:space="0" w:color="auto"/>
              <w:left w:val="nil"/>
              <w:bottom w:val="single" w:sz="4" w:space="0" w:color="auto"/>
              <w:right w:val="single" w:sz="4" w:space="0" w:color="auto"/>
            </w:tcBorders>
            <w:vAlign w:val="center"/>
            <w:hideMark/>
          </w:tcPr>
          <w:p w14:paraId="50F265FA"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I. Módosítás …./2026.(II.23)</w:t>
            </w:r>
          </w:p>
        </w:tc>
        <w:tc>
          <w:tcPr>
            <w:tcW w:w="2126" w:type="dxa"/>
            <w:tcBorders>
              <w:top w:val="single" w:sz="4" w:space="0" w:color="auto"/>
              <w:left w:val="nil"/>
              <w:bottom w:val="single" w:sz="4" w:space="0" w:color="auto"/>
              <w:right w:val="single" w:sz="4" w:space="0" w:color="auto"/>
            </w:tcBorders>
            <w:vAlign w:val="center"/>
            <w:hideMark/>
          </w:tcPr>
          <w:p w14:paraId="7E3F1B48"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Módosított előirányzat február</w:t>
            </w:r>
          </w:p>
        </w:tc>
      </w:tr>
      <w:tr w:rsidR="0033037F" w14:paraId="27D93693"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55AF162C"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Személyi juttatások</w:t>
            </w:r>
          </w:p>
        </w:tc>
        <w:tc>
          <w:tcPr>
            <w:tcW w:w="1858" w:type="dxa"/>
            <w:tcBorders>
              <w:top w:val="nil"/>
              <w:left w:val="nil"/>
              <w:bottom w:val="single" w:sz="4" w:space="0" w:color="auto"/>
              <w:right w:val="single" w:sz="4" w:space="0" w:color="auto"/>
            </w:tcBorders>
            <w:noWrap/>
            <w:vAlign w:val="bottom"/>
            <w:hideMark/>
          </w:tcPr>
          <w:p w14:paraId="38F2713F"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200.661.736</w:t>
            </w:r>
          </w:p>
        </w:tc>
        <w:tc>
          <w:tcPr>
            <w:tcW w:w="2268" w:type="dxa"/>
            <w:tcBorders>
              <w:top w:val="nil"/>
              <w:left w:val="nil"/>
              <w:bottom w:val="single" w:sz="4" w:space="0" w:color="auto"/>
              <w:right w:val="single" w:sz="4" w:space="0" w:color="auto"/>
            </w:tcBorders>
            <w:noWrap/>
            <w:vAlign w:val="bottom"/>
            <w:hideMark/>
          </w:tcPr>
          <w:p w14:paraId="47EF60DE"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563FC77"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200.661.736</w:t>
            </w:r>
          </w:p>
        </w:tc>
      </w:tr>
      <w:tr w:rsidR="0033037F" w14:paraId="091D2E49"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530F7AF8"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Munkaadót terhelő járulékok</w:t>
            </w:r>
          </w:p>
        </w:tc>
        <w:tc>
          <w:tcPr>
            <w:tcW w:w="1858" w:type="dxa"/>
            <w:tcBorders>
              <w:top w:val="nil"/>
              <w:left w:val="nil"/>
              <w:bottom w:val="single" w:sz="4" w:space="0" w:color="auto"/>
              <w:right w:val="single" w:sz="4" w:space="0" w:color="auto"/>
            </w:tcBorders>
            <w:noWrap/>
            <w:vAlign w:val="bottom"/>
            <w:hideMark/>
          </w:tcPr>
          <w:p w14:paraId="13ED6692"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26.086.026</w:t>
            </w:r>
          </w:p>
        </w:tc>
        <w:tc>
          <w:tcPr>
            <w:tcW w:w="2268" w:type="dxa"/>
            <w:tcBorders>
              <w:top w:val="nil"/>
              <w:left w:val="nil"/>
              <w:bottom w:val="single" w:sz="4" w:space="0" w:color="auto"/>
              <w:right w:val="single" w:sz="4" w:space="0" w:color="auto"/>
            </w:tcBorders>
            <w:noWrap/>
            <w:vAlign w:val="bottom"/>
            <w:hideMark/>
          </w:tcPr>
          <w:p w14:paraId="1584A6C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CFF4C41"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26.086.026</w:t>
            </w:r>
          </w:p>
        </w:tc>
      </w:tr>
      <w:tr w:rsidR="0033037F" w14:paraId="28789EB9"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3F8563BC"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Dologi kiadások</w:t>
            </w:r>
          </w:p>
        </w:tc>
        <w:tc>
          <w:tcPr>
            <w:tcW w:w="1858" w:type="dxa"/>
            <w:tcBorders>
              <w:top w:val="nil"/>
              <w:left w:val="nil"/>
              <w:bottom w:val="single" w:sz="4" w:space="0" w:color="auto"/>
              <w:right w:val="single" w:sz="4" w:space="0" w:color="auto"/>
            </w:tcBorders>
            <w:noWrap/>
            <w:vAlign w:val="bottom"/>
            <w:hideMark/>
          </w:tcPr>
          <w:p w14:paraId="7B500C7E"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48.287.614</w:t>
            </w:r>
          </w:p>
        </w:tc>
        <w:tc>
          <w:tcPr>
            <w:tcW w:w="2268" w:type="dxa"/>
            <w:tcBorders>
              <w:top w:val="nil"/>
              <w:left w:val="nil"/>
              <w:bottom w:val="single" w:sz="4" w:space="0" w:color="auto"/>
              <w:right w:val="single" w:sz="4" w:space="0" w:color="auto"/>
            </w:tcBorders>
            <w:noWrap/>
            <w:vAlign w:val="bottom"/>
            <w:hideMark/>
          </w:tcPr>
          <w:p w14:paraId="48FC3EE0"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004F005"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48.287.614</w:t>
            </w:r>
          </w:p>
        </w:tc>
      </w:tr>
      <w:tr w:rsidR="0033037F" w14:paraId="34924425"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366DEDCF"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Felhalmozási célú kiadások</w:t>
            </w:r>
          </w:p>
        </w:tc>
        <w:tc>
          <w:tcPr>
            <w:tcW w:w="1858" w:type="dxa"/>
            <w:tcBorders>
              <w:top w:val="nil"/>
              <w:left w:val="nil"/>
              <w:bottom w:val="single" w:sz="4" w:space="0" w:color="auto"/>
              <w:right w:val="single" w:sz="4" w:space="0" w:color="auto"/>
            </w:tcBorders>
            <w:noWrap/>
            <w:vAlign w:val="bottom"/>
            <w:hideMark/>
          </w:tcPr>
          <w:p w14:paraId="3248E66E"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31BCE7B3"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7117A6C"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336A403A"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6A4D2125"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Finanszírozási kiadások</w:t>
            </w:r>
          </w:p>
        </w:tc>
        <w:tc>
          <w:tcPr>
            <w:tcW w:w="1858" w:type="dxa"/>
            <w:tcBorders>
              <w:top w:val="nil"/>
              <w:left w:val="nil"/>
              <w:bottom w:val="single" w:sz="4" w:space="0" w:color="auto"/>
              <w:right w:val="single" w:sz="4" w:space="0" w:color="auto"/>
            </w:tcBorders>
            <w:noWrap/>
            <w:vAlign w:val="bottom"/>
            <w:hideMark/>
          </w:tcPr>
          <w:p w14:paraId="2BFD8340"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37A0FCED"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613DF4C"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26054AC1" w14:textId="77777777" w:rsidTr="0033037F">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0E2EADD7"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KIADÁSOK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2FCFD07F"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c>
          <w:tcPr>
            <w:tcW w:w="2268" w:type="dxa"/>
            <w:tcBorders>
              <w:top w:val="nil"/>
              <w:left w:val="nil"/>
              <w:bottom w:val="single" w:sz="4" w:space="0" w:color="auto"/>
              <w:right w:val="single" w:sz="4" w:space="0" w:color="auto"/>
            </w:tcBorders>
            <w:shd w:val="clear" w:color="auto" w:fill="F2F2F2"/>
            <w:noWrap/>
            <w:vAlign w:val="bottom"/>
            <w:hideMark/>
          </w:tcPr>
          <w:p w14:paraId="527E653D"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0</w:t>
            </w:r>
          </w:p>
        </w:tc>
        <w:tc>
          <w:tcPr>
            <w:tcW w:w="2126" w:type="dxa"/>
            <w:tcBorders>
              <w:top w:val="nil"/>
              <w:left w:val="nil"/>
              <w:bottom w:val="single" w:sz="4" w:space="0" w:color="auto"/>
              <w:right w:val="single" w:sz="4" w:space="0" w:color="auto"/>
            </w:tcBorders>
            <w:shd w:val="clear" w:color="auto" w:fill="F2F2F2"/>
            <w:noWrap/>
            <w:vAlign w:val="bottom"/>
            <w:hideMark/>
          </w:tcPr>
          <w:p w14:paraId="55FEAB7A"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r>
      <w:tr w:rsidR="0033037F" w14:paraId="5212D80F"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34118304"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Intézményfinanszírozás bevétele</w:t>
            </w:r>
          </w:p>
        </w:tc>
        <w:tc>
          <w:tcPr>
            <w:tcW w:w="1858" w:type="dxa"/>
            <w:tcBorders>
              <w:top w:val="nil"/>
              <w:left w:val="nil"/>
              <w:bottom w:val="single" w:sz="4" w:space="0" w:color="auto"/>
              <w:right w:val="single" w:sz="4" w:space="0" w:color="auto"/>
            </w:tcBorders>
            <w:noWrap/>
            <w:vAlign w:val="bottom"/>
            <w:hideMark/>
          </w:tcPr>
          <w:p w14:paraId="1EDBED13"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275.035.376</w:t>
            </w:r>
          </w:p>
        </w:tc>
        <w:tc>
          <w:tcPr>
            <w:tcW w:w="2268" w:type="dxa"/>
            <w:tcBorders>
              <w:top w:val="nil"/>
              <w:left w:val="nil"/>
              <w:bottom w:val="single" w:sz="4" w:space="0" w:color="auto"/>
              <w:right w:val="single" w:sz="4" w:space="0" w:color="auto"/>
            </w:tcBorders>
            <w:noWrap/>
            <w:vAlign w:val="bottom"/>
            <w:hideMark/>
          </w:tcPr>
          <w:p w14:paraId="7622A35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9E1AF67"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275.035.376</w:t>
            </w:r>
          </w:p>
        </w:tc>
      </w:tr>
      <w:tr w:rsidR="0033037F" w14:paraId="530FB358" w14:textId="77777777" w:rsidTr="0033037F">
        <w:trPr>
          <w:trHeight w:val="300"/>
        </w:trPr>
        <w:tc>
          <w:tcPr>
            <w:tcW w:w="3387" w:type="dxa"/>
            <w:tcBorders>
              <w:top w:val="nil"/>
              <w:left w:val="single" w:sz="4" w:space="0" w:color="auto"/>
              <w:bottom w:val="single" w:sz="4" w:space="0" w:color="auto"/>
              <w:right w:val="single" w:sz="4" w:space="0" w:color="auto"/>
            </w:tcBorders>
            <w:noWrap/>
            <w:vAlign w:val="bottom"/>
            <w:hideMark/>
          </w:tcPr>
          <w:p w14:paraId="37F7A8E4"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 xml:space="preserve">Egyéb mc. Támogatás bevétele </w:t>
            </w:r>
          </w:p>
        </w:tc>
        <w:tc>
          <w:tcPr>
            <w:tcW w:w="1858" w:type="dxa"/>
            <w:tcBorders>
              <w:top w:val="nil"/>
              <w:left w:val="nil"/>
              <w:bottom w:val="single" w:sz="4" w:space="0" w:color="auto"/>
              <w:right w:val="single" w:sz="4" w:space="0" w:color="auto"/>
            </w:tcBorders>
            <w:noWrap/>
            <w:vAlign w:val="bottom"/>
            <w:hideMark/>
          </w:tcPr>
          <w:p w14:paraId="33170CD1"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6538D8A"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E6991EB"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4F66CF90" w14:textId="77777777" w:rsidTr="0033037F">
        <w:trPr>
          <w:trHeight w:val="465"/>
        </w:trPr>
        <w:tc>
          <w:tcPr>
            <w:tcW w:w="3387" w:type="dxa"/>
            <w:tcBorders>
              <w:top w:val="nil"/>
              <w:left w:val="single" w:sz="4" w:space="0" w:color="auto"/>
              <w:bottom w:val="single" w:sz="4" w:space="0" w:color="auto"/>
              <w:right w:val="single" w:sz="4" w:space="0" w:color="auto"/>
            </w:tcBorders>
            <w:vAlign w:val="bottom"/>
            <w:hideMark/>
          </w:tcPr>
          <w:p w14:paraId="1C60220B"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Egyéb mc.  bevétel</w:t>
            </w:r>
          </w:p>
        </w:tc>
        <w:tc>
          <w:tcPr>
            <w:tcW w:w="1858" w:type="dxa"/>
            <w:tcBorders>
              <w:top w:val="nil"/>
              <w:left w:val="nil"/>
              <w:bottom w:val="single" w:sz="4" w:space="0" w:color="auto"/>
              <w:right w:val="single" w:sz="4" w:space="0" w:color="auto"/>
            </w:tcBorders>
            <w:noWrap/>
            <w:vAlign w:val="bottom"/>
            <w:hideMark/>
          </w:tcPr>
          <w:p w14:paraId="2F06C921"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325EB541"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765C5647"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3C40FE77" w14:textId="77777777" w:rsidTr="0033037F">
        <w:trPr>
          <w:trHeight w:val="601"/>
        </w:trPr>
        <w:tc>
          <w:tcPr>
            <w:tcW w:w="3387" w:type="dxa"/>
            <w:tcBorders>
              <w:top w:val="nil"/>
              <w:left w:val="single" w:sz="4" w:space="0" w:color="auto"/>
              <w:bottom w:val="single" w:sz="4" w:space="0" w:color="auto"/>
              <w:right w:val="single" w:sz="4" w:space="0" w:color="auto"/>
            </w:tcBorders>
            <w:vAlign w:val="bottom"/>
            <w:hideMark/>
          </w:tcPr>
          <w:p w14:paraId="3635A533" w14:textId="77777777" w:rsidR="0033037F" w:rsidRDefault="0033037F">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Szolgáltatások ellenértékének bevétele</w:t>
            </w:r>
          </w:p>
        </w:tc>
        <w:tc>
          <w:tcPr>
            <w:tcW w:w="1858" w:type="dxa"/>
            <w:tcBorders>
              <w:top w:val="nil"/>
              <w:left w:val="nil"/>
              <w:bottom w:val="single" w:sz="4" w:space="0" w:color="auto"/>
              <w:right w:val="single" w:sz="4" w:space="0" w:color="auto"/>
            </w:tcBorders>
            <w:noWrap/>
            <w:vAlign w:val="bottom"/>
            <w:hideMark/>
          </w:tcPr>
          <w:p w14:paraId="430F5FDB"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3FDD3597"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45DC450" w14:textId="77777777" w:rsidR="0033037F" w:rsidRDefault="0033037F">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33037F" w14:paraId="07474E65" w14:textId="77777777" w:rsidTr="0033037F">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246EE70F" w14:textId="77777777" w:rsidR="0033037F" w:rsidRDefault="0033037F">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BEVÉTELEK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4DA2FD65"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c>
          <w:tcPr>
            <w:tcW w:w="2268" w:type="dxa"/>
            <w:tcBorders>
              <w:top w:val="nil"/>
              <w:left w:val="nil"/>
              <w:bottom w:val="single" w:sz="4" w:space="0" w:color="auto"/>
              <w:right w:val="single" w:sz="4" w:space="0" w:color="auto"/>
            </w:tcBorders>
            <w:shd w:val="clear" w:color="auto" w:fill="F2F2F2"/>
            <w:noWrap/>
            <w:vAlign w:val="bottom"/>
            <w:hideMark/>
          </w:tcPr>
          <w:p w14:paraId="00DFE875"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0</w:t>
            </w:r>
          </w:p>
        </w:tc>
        <w:tc>
          <w:tcPr>
            <w:tcW w:w="2126" w:type="dxa"/>
            <w:tcBorders>
              <w:top w:val="nil"/>
              <w:left w:val="nil"/>
              <w:bottom w:val="single" w:sz="4" w:space="0" w:color="auto"/>
              <w:right w:val="single" w:sz="4" w:space="0" w:color="auto"/>
            </w:tcBorders>
            <w:shd w:val="clear" w:color="auto" w:fill="F2F2F2"/>
            <w:noWrap/>
            <w:vAlign w:val="bottom"/>
            <w:hideMark/>
          </w:tcPr>
          <w:p w14:paraId="28E57F09" w14:textId="77777777" w:rsidR="0033037F" w:rsidRDefault="0033037F">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r>
    </w:tbl>
    <w:p w14:paraId="55973AAA" w14:textId="77777777" w:rsidR="0033037F" w:rsidRDefault="0033037F" w:rsidP="0033037F">
      <w:pPr>
        <w:spacing w:line="240" w:lineRule="auto"/>
        <w:rPr>
          <w:rFonts w:asciiTheme="majorHAnsi" w:hAnsiTheme="majorHAnsi" w:cstheme="majorHAnsi"/>
          <w:b/>
          <w:sz w:val="24"/>
          <w:szCs w:val="24"/>
          <w:u w:val="single"/>
        </w:rPr>
      </w:pPr>
    </w:p>
    <w:p w14:paraId="22DCDD63" w14:textId="69DBF057" w:rsidR="007A649D" w:rsidRPr="003165E9" w:rsidRDefault="002415DC" w:rsidP="003165E9">
      <w:pPr>
        <w:spacing w:before="240" w:after="240" w:line="240" w:lineRule="auto"/>
        <w:jc w:val="both"/>
        <w:rPr>
          <w:rFonts w:ascii="Times New Roman" w:hAnsi="Times New Roman" w:cs="Times New Roman"/>
          <w:sz w:val="24"/>
          <w:szCs w:val="24"/>
        </w:rPr>
      </w:pPr>
      <w:r w:rsidRPr="00F07D42">
        <w:rPr>
          <w:rFonts w:ascii="Times New Roman" w:hAnsi="Times New Roman" w:cs="Times New Roman"/>
          <w:bCs/>
          <w:color w:val="000000"/>
          <w:sz w:val="24"/>
          <w:szCs w:val="24"/>
        </w:rPr>
        <w:t>Kérem a Tisztelt Közgyűlést</w:t>
      </w:r>
      <w:r w:rsidR="00306E10" w:rsidRPr="00F07D42">
        <w:rPr>
          <w:rFonts w:ascii="Times New Roman" w:hAnsi="Times New Roman" w:cs="Times New Roman"/>
          <w:bCs/>
          <w:color w:val="000000"/>
          <w:sz w:val="24"/>
          <w:szCs w:val="24"/>
        </w:rPr>
        <w:t xml:space="preserve"> az </w:t>
      </w:r>
      <w:r w:rsidR="00B139AA" w:rsidRPr="00F07D42">
        <w:rPr>
          <w:rFonts w:ascii="Times New Roman" w:hAnsi="Times New Roman" w:cs="Times New Roman"/>
          <w:bCs/>
          <w:color w:val="000000"/>
          <w:sz w:val="24"/>
          <w:szCs w:val="24"/>
        </w:rPr>
        <w:t xml:space="preserve">előterjesztést megvitatni és az </w:t>
      </w:r>
      <w:r w:rsidR="00306E10" w:rsidRPr="00F07D42">
        <w:rPr>
          <w:rFonts w:ascii="Times New Roman" w:hAnsi="Times New Roman" w:cs="Times New Roman"/>
          <w:bCs/>
          <w:color w:val="000000"/>
          <w:sz w:val="24"/>
          <w:szCs w:val="24"/>
        </w:rPr>
        <w:t>alábbi határozati javaslat</w:t>
      </w:r>
      <w:r w:rsidR="003E678A" w:rsidRPr="00F07D42">
        <w:rPr>
          <w:rFonts w:ascii="Times New Roman" w:hAnsi="Times New Roman" w:cs="Times New Roman"/>
          <w:bCs/>
          <w:color w:val="000000"/>
          <w:sz w:val="24"/>
          <w:szCs w:val="24"/>
        </w:rPr>
        <w:t>ot</w:t>
      </w:r>
      <w:r w:rsidR="00D67B23" w:rsidRPr="00F07D42">
        <w:rPr>
          <w:rFonts w:ascii="Times New Roman" w:hAnsi="Times New Roman" w:cs="Times New Roman"/>
          <w:bCs/>
          <w:color w:val="000000"/>
          <w:sz w:val="24"/>
          <w:szCs w:val="24"/>
        </w:rPr>
        <w:t xml:space="preserve"> elfogad</w:t>
      </w:r>
      <w:r w:rsidR="003E678A" w:rsidRPr="00F07D42">
        <w:rPr>
          <w:rFonts w:ascii="Times New Roman" w:hAnsi="Times New Roman" w:cs="Times New Roman"/>
          <w:bCs/>
          <w:color w:val="000000"/>
          <w:sz w:val="24"/>
          <w:szCs w:val="24"/>
        </w:rPr>
        <w:t>ni</w:t>
      </w:r>
      <w:r w:rsidR="004524C3" w:rsidRPr="00F07D42">
        <w:rPr>
          <w:rFonts w:ascii="Times New Roman" w:hAnsi="Times New Roman" w:cs="Times New Roman"/>
          <w:bCs/>
          <w:color w:val="000000"/>
          <w:sz w:val="24"/>
          <w:szCs w:val="24"/>
        </w:rPr>
        <w:t>!</w:t>
      </w:r>
    </w:p>
    <w:p w14:paraId="02FDCF21" w14:textId="59AB7CBA" w:rsidR="00D67B23" w:rsidRPr="004524C3" w:rsidRDefault="00D67B23" w:rsidP="003165E9">
      <w:pPr>
        <w:spacing w:after="0" w:line="240" w:lineRule="auto"/>
        <w:jc w:val="center"/>
        <w:rPr>
          <w:rFonts w:ascii="Times New Roman" w:hAnsi="Times New Roman" w:cs="Times New Roman"/>
          <w:bCs/>
          <w:color w:val="000000"/>
          <w:sz w:val="24"/>
          <w:szCs w:val="24"/>
        </w:rPr>
      </w:pPr>
      <w:r w:rsidRPr="0052092A">
        <w:rPr>
          <w:rFonts w:ascii="Times New Roman" w:hAnsi="Times New Roman" w:cs="Times New Roman"/>
          <w:b/>
          <w:color w:val="000000"/>
          <w:sz w:val="24"/>
          <w:szCs w:val="24"/>
          <w:u w:val="single"/>
        </w:rPr>
        <w:t>Határozati Javaslat</w:t>
      </w:r>
    </w:p>
    <w:p w14:paraId="769B4442" w14:textId="77777777" w:rsidR="00CA30D1" w:rsidRPr="0052092A" w:rsidRDefault="00CA30D1" w:rsidP="003165E9">
      <w:pPr>
        <w:spacing w:after="0" w:line="240" w:lineRule="auto"/>
        <w:jc w:val="center"/>
        <w:rPr>
          <w:rFonts w:ascii="Times New Roman" w:hAnsi="Times New Roman" w:cs="Times New Roman"/>
          <w:b/>
          <w:color w:val="000000"/>
          <w:sz w:val="24"/>
          <w:szCs w:val="24"/>
          <w:u w:val="single"/>
        </w:rPr>
      </w:pPr>
    </w:p>
    <w:p w14:paraId="7331F9BA" w14:textId="08E8D8E5" w:rsidR="005F0179" w:rsidRPr="0033037F" w:rsidRDefault="005F0179" w:rsidP="0033037F">
      <w:pPr>
        <w:pStyle w:val="Standard"/>
        <w:numPr>
          <w:ilvl w:val="0"/>
          <w:numId w:val="8"/>
        </w:numPr>
        <w:ind w:left="0" w:firstLine="0"/>
        <w:jc w:val="both"/>
        <w:rPr>
          <w:b/>
          <w:sz w:val="24"/>
        </w:rPr>
      </w:pPr>
      <w:r w:rsidRPr="00773354">
        <w:rPr>
          <w:color w:val="000000"/>
          <w:sz w:val="24"/>
        </w:rPr>
        <w:t xml:space="preserve">Az </w:t>
      </w:r>
      <w:r w:rsidR="00554E1E" w:rsidRPr="00773354">
        <w:rPr>
          <w:color w:val="000000"/>
          <w:sz w:val="24"/>
        </w:rPr>
        <w:t>Magyarországi Romák Országos Önkormányzatának</w:t>
      </w:r>
      <w:r w:rsidRPr="00773354">
        <w:rPr>
          <w:color w:val="000000"/>
          <w:sz w:val="24"/>
        </w:rPr>
        <w:t xml:space="preserve"> </w:t>
      </w:r>
      <w:r w:rsidR="00C051A4" w:rsidRPr="00773354">
        <w:rPr>
          <w:color w:val="000000"/>
          <w:sz w:val="24"/>
        </w:rPr>
        <w:t>Közgyűlése megtárgyalta</w:t>
      </w:r>
      <w:r w:rsidR="00FA5F3E" w:rsidRPr="00773354">
        <w:rPr>
          <w:b/>
          <w:sz w:val="24"/>
        </w:rPr>
        <w:t xml:space="preserve"> </w:t>
      </w:r>
      <w:r w:rsidR="00773354">
        <w:rPr>
          <w:b/>
          <w:sz w:val="24"/>
        </w:rPr>
        <w:t>„</w:t>
      </w:r>
      <w:r w:rsidR="0033037F" w:rsidRPr="0033037F">
        <w:rPr>
          <w:b/>
          <w:sz w:val="24"/>
        </w:rPr>
        <w:t>A Magyarországi Romák Országos Önkormányzata, a Magyarországi Romák Országos Önkormányzatának Hivatala, valamint az Önkormányzat fenntartásában működő Intézmények, és köznevelési intézmények 2026. évi költségvetésének I. számú módosítására</w:t>
      </w:r>
      <w:r w:rsidR="00773354" w:rsidRPr="0033037F">
        <w:rPr>
          <w:b/>
          <w:color w:val="000000"/>
          <w:sz w:val="24"/>
        </w:rPr>
        <w:t xml:space="preserve">” </w:t>
      </w:r>
      <w:r w:rsidR="004524C3" w:rsidRPr="0033037F">
        <w:rPr>
          <w:color w:val="000000"/>
          <w:sz w:val="24"/>
        </w:rPr>
        <w:t xml:space="preserve">tárgyú </w:t>
      </w:r>
      <w:r w:rsidR="00576283" w:rsidRPr="0033037F">
        <w:rPr>
          <w:color w:val="000000"/>
          <w:sz w:val="24"/>
        </w:rPr>
        <w:t>előterjesztést</w:t>
      </w:r>
      <w:r w:rsidR="004524C3" w:rsidRPr="0033037F">
        <w:rPr>
          <w:color w:val="000000"/>
          <w:sz w:val="24"/>
        </w:rPr>
        <w:t xml:space="preserve"> és az alábbi határozatot hozza:</w:t>
      </w:r>
    </w:p>
    <w:p w14:paraId="552810BB" w14:textId="237087FA" w:rsidR="00CA30D1" w:rsidRDefault="00CA30D1" w:rsidP="003165E9">
      <w:pPr>
        <w:spacing w:after="0" w:line="240" w:lineRule="auto"/>
        <w:jc w:val="both"/>
        <w:rPr>
          <w:rFonts w:ascii="Times New Roman" w:hAnsi="Times New Roman" w:cs="Times New Roman"/>
          <w:bCs/>
          <w:color w:val="000000"/>
          <w:sz w:val="24"/>
          <w:szCs w:val="24"/>
        </w:rPr>
      </w:pPr>
    </w:p>
    <w:p w14:paraId="56F26DC1" w14:textId="3CD937E1" w:rsidR="0033037F" w:rsidRPr="0033037F" w:rsidRDefault="0033037F" w:rsidP="0033037F">
      <w:pPr>
        <w:spacing w:after="200" w:line="240" w:lineRule="auto"/>
        <w:ind w:left="360"/>
        <w:jc w:val="both"/>
        <w:rPr>
          <w:rFonts w:asciiTheme="majorHAnsi" w:eastAsia="Calibri" w:hAnsiTheme="majorHAnsi" w:cstheme="majorHAnsi"/>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(1) bekezdésének d) pontjában kapott felhatalmazás, valamint az Államháztartásról szóló 2011. évi CXCV. törvény 34. § (4) bekezdésében foglalt kötelezettség alapján, </w:t>
      </w:r>
      <w:r w:rsidRPr="0033037F">
        <w:rPr>
          <w:rFonts w:asciiTheme="majorHAnsi" w:eastAsia="Calibri" w:hAnsiTheme="majorHAnsi" w:cstheme="majorHAnsi"/>
          <w:i/>
          <w:color w:val="000000"/>
          <w:sz w:val="24"/>
          <w:szCs w:val="24"/>
        </w:rPr>
        <w:t>összhangban a Szervezeti és Működési Szabályzat 13. § b) pontjával</w:t>
      </w:r>
      <w:r>
        <w:rPr>
          <w:rFonts w:asciiTheme="majorHAnsi" w:eastAsia="Calibri" w:hAnsiTheme="majorHAnsi" w:cstheme="majorHAnsi"/>
          <w:i/>
          <w:color w:val="000000"/>
          <w:sz w:val="24"/>
          <w:szCs w:val="24"/>
        </w:rPr>
        <w:t xml:space="preserve"> a Magyarországi Romák Országos Önkormányzatának 2025. évi költségvetését a jelen határozat elválaszthatatlan mellékletét képező táblázatban foglaltak szerint módosítja.</w:t>
      </w:r>
    </w:p>
    <w:p w14:paraId="2D6976C8" w14:textId="77777777" w:rsidR="0033037F" w:rsidRDefault="0033037F" w:rsidP="0033037F">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w:t>
      </w:r>
      <w:r>
        <w:rPr>
          <w:rFonts w:asciiTheme="majorHAnsi" w:hAnsiTheme="majorHAnsi" w:cstheme="majorHAnsi"/>
          <w:bCs/>
          <w:i/>
          <w:color w:val="000000"/>
          <w:sz w:val="24"/>
          <w:szCs w:val="24"/>
        </w:rPr>
        <w:t xml:space="preserve"> Magyarországi Romák Országos Önkormányzatának, és a Magyarországi Romák Országos Önkormányzata Hivatalának 2026.évi költségvetését a jelen határozat elválaszthatatlan részét képező táblázatban foglaltak szerint módosítom.</w:t>
      </w:r>
    </w:p>
    <w:p w14:paraId="41FE9F30" w14:textId="77777777" w:rsidR="0033037F" w:rsidRDefault="0033037F" w:rsidP="0033037F">
      <w:pPr>
        <w:spacing w:after="200" w:line="240" w:lineRule="auto"/>
        <w:jc w:val="both"/>
        <w:rPr>
          <w:rFonts w:asciiTheme="majorHAnsi" w:hAnsiTheme="majorHAnsi" w:cstheme="majorHAnsi"/>
          <w:bCs/>
          <w:i/>
          <w:color w:val="000000"/>
          <w:sz w:val="24"/>
          <w:szCs w:val="24"/>
        </w:rPr>
      </w:pPr>
    </w:p>
    <w:p w14:paraId="602DC7AE" w14:textId="77777777" w:rsidR="0033037F" w:rsidRDefault="0033037F" w:rsidP="0033037F">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lastRenderedPageBreak/>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az Országos Roma Foglalkoztatási Központ, az Országos Roma Sportközpont </w:t>
      </w:r>
      <w:r>
        <w:rPr>
          <w:rFonts w:asciiTheme="majorHAnsi" w:eastAsia="Calibri" w:hAnsiTheme="majorHAnsi" w:cstheme="majorHAnsi"/>
          <w:i/>
          <w:sz w:val="24"/>
          <w:szCs w:val="24"/>
        </w:rPr>
        <w:t xml:space="preserve">az Országos Roma Misszió, az Országos Roma Médiacentrum </w:t>
      </w:r>
      <w:r>
        <w:rPr>
          <w:rFonts w:asciiTheme="majorHAnsi" w:eastAsia="Calibri" w:hAnsiTheme="majorHAnsi" w:cstheme="majorHAnsi"/>
          <w:i/>
          <w:color w:val="000000"/>
          <w:sz w:val="24"/>
          <w:szCs w:val="24"/>
        </w:rPr>
        <w:t xml:space="preserve">és a Magyarországi Romák Országos Önkormányzatának Hivatala, 2026. évi költségvetését a jelen határozat elválaszthatatlan mellékletét képező táblázatban foglaltak szerint módosítja. </w:t>
      </w:r>
    </w:p>
    <w:p w14:paraId="575256D8" w14:textId="77777777" w:rsidR="0033037F" w:rsidRDefault="0033037F" w:rsidP="0033037F">
      <w:pPr>
        <w:pStyle w:val="Listaszerbekezds"/>
        <w:rPr>
          <w:rFonts w:asciiTheme="majorHAnsi" w:hAnsiTheme="majorHAnsi" w:cstheme="majorHAnsi"/>
          <w:bCs/>
          <w:i/>
          <w:color w:val="000000"/>
          <w:sz w:val="24"/>
          <w:szCs w:val="24"/>
        </w:rPr>
      </w:pPr>
    </w:p>
    <w:p w14:paraId="3D9D99D6" w14:textId="77777777" w:rsidR="00C60C60" w:rsidRPr="00C60C60" w:rsidRDefault="0033037F" w:rsidP="0033037F">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 Teleki József Általános Iskola és Szakképző Iskola, valamint a Tiszapüspöki Általános Iskola 2026.évi költségvetését a jelen határozat elválaszthatatlan mellékletét képező táblázatban foglaltak szerint módosítja.</w:t>
      </w:r>
      <w:r w:rsidRPr="0033037F">
        <w:rPr>
          <w:rFonts w:asciiTheme="majorHAnsi" w:eastAsia="Calibri" w:hAnsiTheme="majorHAnsi" w:cstheme="majorHAnsi"/>
          <w:i/>
          <w:color w:val="000000"/>
          <w:sz w:val="24"/>
          <w:szCs w:val="24"/>
        </w:rPr>
        <w:t xml:space="preserve"> </w:t>
      </w:r>
    </w:p>
    <w:p w14:paraId="60CE3F30" w14:textId="79333C4F" w:rsidR="0033037F" w:rsidRPr="0033037F" w:rsidRDefault="0033037F" w:rsidP="00C60C60">
      <w:pPr>
        <w:pStyle w:val="Listaszerbekezds"/>
        <w:spacing w:line="240" w:lineRule="auto"/>
        <w:ind w:left="643"/>
        <w:jc w:val="both"/>
        <w:rPr>
          <w:rFonts w:asciiTheme="majorHAnsi" w:hAnsiTheme="majorHAnsi" w:cstheme="majorHAnsi"/>
          <w:bCs/>
          <w:i/>
          <w:color w:val="000000"/>
          <w:sz w:val="24"/>
          <w:szCs w:val="24"/>
        </w:rPr>
      </w:pPr>
      <w:r w:rsidRPr="0033037F">
        <w:rPr>
          <w:rFonts w:asciiTheme="majorHAnsi" w:eastAsia="Calibri" w:hAnsiTheme="majorHAnsi" w:cstheme="majorHAnsi"/>
          <w:i/>
          <w:color w:val="000000"/>
          <w:sz w:val="24"/>
          <w:szCs w:val="24"/>
        </w:rPr>
        <w:t xml:space="preserve"> </w:t>
      </w:r>
    </w:p>
    <w:tbl>
      <w:tblPr>
        <w:tblStyle w:val="Rcsostblzat"/>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7886"/>
      </w:tblGrid>
      <w:tr w:rsidR="0033037F" w14:paraId="15769100" w14:textId="77777777" w:rsidTr="0033037F">
        <w:tc>
          <w:tcPr>
            <w:tcW w:w="1176" w:type="dxa"/>
            <w:hideMark/>
          </w:tcPr>
          <w:p w14:paraId="635B10F7" w14:textId="77777777" w:rsidR="0033037F" w:rsidRDefault="0033037F">
            <w:pPr>
              <w:jc w:val="both"/>
              <w:rPr>
                <w:rFonts w:asciiTheme="majorHAnsi" w:hAnsiTheme="majorHAnsi" w:cstheme="majorHAnsi"/>
                <w:sz w:val="24"/>
                <w:szCs w:val="24"/>
              </w:rPr>
            </w:pPr>
            <w:r>
              <w:rPr>
                <w:rFonts w:asciiTheme="majorHAnsi" w:eastAsia="Calibri" w:hAnsiTheme="majorHAnsi" w:cstheme="majorHAnsi"/>
                <w:i/>
                <w:sz w:val="24"/>
                <w:szCs w:val="24"/>
              </w:rPr>
              <w:t>Felelős:</w:t>
            </w:r>
          </w:p>
        </w:tc>
        <w:tc>
          <w:tcPr>
            <w:tcW w:w="7886" w:type="dxa"/>
            <w:hideMark/>
          </w:tcPr>
          <w:p w14:paraId="37A6CF96" w14:textId="77777777" w:rsidR="0033037F" w:rsidRDefault="0033037F">
            <w:pPr>
              <w:jc w:val="both"/>
              <w:rPr>
                <w:rFonts w:asciiTheme="majorHAnsi" w:hAnsiTheme="majorHAnsi" w:cstheme="majorHAnsi"/>
                <w:sz w:val="24"/>
                <w:szCs w:val="24"/>
              </w:rPr>
            </w:pPr>
            <w:r>
              <w:rPr>
                <w:rFonts w:asciiTheme="majorHAnsi" w:eastAsia="Calibri" w:hAnsiTheme="majorHAnsi" w:cstheme="majorHAnsi"/>
                <w:i/>
                <w:sz w:val="24"/>
                <w:szCs w:val="24"/>
              </w:rPr>
              <w:t>Aba-Horváth István elnök</w:t>
            </w:r>
          </w:p>
        </w:tc>
      </w:tr>
      <w:tr w:rsidR="0033037F" w14:paraId="0BBBB26C" w14:textId="77777777" w:rsidTr="0033037F">
        <w:tc>
          <w:tcPr>
            <w:tcW w:w="1176" w:type="dxa"/>
            <w:hideMark/>
          </w:tcPr>
          <w:p w14:paraId="00A568DF" w14:textId="77777777" w:rsidR="0033037F" w:rsidRDefault="0033037F">
            <w:pPr>
              <w:jc w:val="both"/>
              <w:rPr>
                <w:rFonts w:asciiTheme="majorHAnsi" w:hAnsiTheme="majorHAnsi" w:cstheme="majorHAnsi"/>
                <w:sz w:val="24"/>
                <w:szCs w:val="24"/>
              </w:rPr>
            </w:pPr>
            <w:r>
              <w:rPr>
                <w:rFonts w:asciiTheme="majorHAnsi" w:eastAsia="Calibri" w:hAnsiTheme="majorHAnsi" w:cstheme="majorHAnsi"/>
                <w:i/>
                <w:sz w:val="24"/>
                <w:szCs w:val="24"/>
              </w:rPr>
              <w:t>Határidő:</w:t>
            </w:r>
          </w:p>
        </w:tc>
        <w:tc>
          <w:tcPr>
            <w:tcW w:w="7886" w:type="dxa"/>
            <w:hideMark/>
          </w:tcPr>
          <w:p w14:paraId="64B4EB81" w14:textId="77777777" w:rsidR="0033037F" w:rsidRDefault="0033037F">
            <w:pPr>
              <w:jc w:val="both"/>
              <w:rPr>
                <w:rFonts w:asciiTheme="majorHAnsi" w:hAnsiTheme="majorHAnsi" w:cstheme="majorHAnsi"/>
                <w:sz w:val="24"/>
                <w:szCs w:val="24"/>
              </w:rPr>
            </w:pPr>
            <w:r>
              <w:rPr>
                <w:rFonts w:asciiTheme="majorHAnsi" w:eastAsia="Calibri" w:hAnsiTheme="majorHAnsi" w:cstheme="majorHAnsi"/>
                <w:i/>
                <w:sz w:val="24"/>
                <w:szCs w:val="24"/>
              </w:rPr>
              <w:t>folyamatos</w:t>
            </w:r>
          </w:p>
        </w:tc>
      </w:tr>
    </w:tbl>
    <w:p w14:paraId="0FE3C145" w14:textId="7EB0E6C6" w:rsidR="00A40D73" w:rsidRDefault="00A40D73" w:rsidP="0033037F">
      <w:pPr>
        <w:spacing w:after="0"/>
        <w:rPr>
          <w:rFonts w:ascii="Times New Roman" w:hAnsi="Times New Roman" w:cs="Times New Roman"/>
          <w:b/>
          <w:sz w:val="24"/>
          <w:szCs w:val="24"/>
        </w:rPr>
      </w:pPr>
    </w:p>
    <w:p w14:paraId="1AD79F37" w14:textId="312FBFF4"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3356E20"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295717">
        <w:rPr>
          <w:rFonts w:ascii="Times New Roman" w:hAnsi="Times New Roman" w:cs="Times New Roman"/>
          <w:b/>
          <w:sz w:val="24"/>
          <w:szCs w:val="24"/>
        </w:rPr>
        <w:t xml:space="preserve"> </w:t>
      </w:r>
      <w:r>
        <w:rPr>
          <w:rFonts w:ascii="Times New Roman" w:hAnsi="Times New Roman" w:cs="Times New Roman"/>
          <w:b/>
          <w:sz w:val="24"/>
          <w:szCs w:val="24"/>
        </w:rPr>
        <w:t xml:space="preserve"> elnök</w:t>
      </w:r>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AA916BA"/>
    <w:multiLevelType w:val="multilevel"/>
    <w:tmpl w:val="32EE42E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2EC7341"/>
    <w:multiLevelType w:val="hybridMultilevel"/>
    <w:tmpl w:val="DD16545C"/>
    <w:lvl w:ilvl="0" w:tplc="040E0011">
      <w:start w:val="1"/>
      <w:numFmt w:val="decimal"/>
      <w:lvlText w:val="%1)"/>
      <w:lvlJc w:val="left"/>
      <w:pPr>
        <w:ind w:left="643"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29C40379"/>
    <w:multiLevelType w:val="hybridMultilevel"/>
    <w:tmpl w:val="057EF474"/>
    <w:lvl w:ilvl="0" w:tplc="C4742000">
      <w:numFmt w:val="bullet"/>
      <w:lvlText w:val="-"/>
      <w:lvlJc w:val="left"/>
      <w:pPr>
        <w:ind w:left="1065" w:hanging="360"/>
      </w:pPr>
      <w:rPr>
        <w:rFonts w:ascii="Times New Roman" w:eastAsiaTheme="minorEastAsia" w:hAnsi="Times New Roman" w:cs="Times New Roman" w:hint="default"/>
      </w:rPr>
    </w:lvl>
    <w:lvl w:ilvl="1" w:tplc="040E0003">
      <w:start w:val="1"/>
      <w:numFmt w:val="bullet"/>
      <w:lvlText w:val="o"/>
      <w:lvlJc w:val="left"/>
      <w:pPr>
        <w:ind w:left="1785" w:hanging="360"/>
      </w:pPr>
      <w:rPr>
        <w:rFonts w:ascii="Courier New" w:hAnsi="Courier New" w:cs="Courier New" w:hint="default"/>
      </w:rPr>
    </w:lvl>
    <w:lvl w:ilvl="2" w:tplc="040E0005">
      <w:start w:val="1"/>
      <w:numFmt w:val="bullet"/>
      <w:lvlText w:val=""/>
      <w:lvlJc w:val="left"/>
      <w:pPr>
        <w:ind w:left="2505" w:hanging="360"/>
      </w:pPr>
      <w:rPr>
        <w:rFonts w:ascii="Wingdings" w:hAnsi="Wingdings" w:hint="default"/>
      </w:rPr>
    </w:lvl>
    <w:lvl w:ilvl="3" w:tplc="040E0001">
      <w:start w:val="1"/>
      <w:numFmt w:val="bullet"/>
      <w:lvlText w:val=""/>
      <w:lvlJc w:val="left"/>
      <w:pPr>
        <w:ind w:left="3225" w:hanging="360"/>
      </w:pPr>
      <w:rPr>
        <w:rFonts w:ascii="Symbol" w:hAnsi="Symbol" w:hint="default"/>
      </w:rPr>
    </w:lvl>
    <w:lvl w:ilvl="4" w:tplc="040E0003">
      <w:start w:val="1"/>
      <w:numFmt w:val="bullet"/>
      <w:lvlText w:val="o"/>
      <w:lvlJc w:val="left"/>
      <w:pPr>
        <w:ind w:left="3945" w:hanging="360"/>
      </w:pPr>
      <w:rPr>
        <w:rFonts w:ascii="Courier New" w:hAnsi="Courier New" w:cs="Courier New" w:hint="default"/>
      </w:rPr>
    </w:lvl>
    <w:lvl w:ilvl="5" w:tplc="040E0005">
      <w:start w:val="1"/>
      <w:numFmt w:val="bullet"/>
      <w:lvlText w:val=""/>
      <w:lvlJc w:val="left"/>
      <w:pPr>
        <w:ind w:left="4665" w:hanging="360"/>
      </w:pPr>
      <w:rPr>
        <w:rFonts w:ascii="Wingdings" w:hAnsi="Wingdings" w:hint="default"/>
      </w:rPr>
    </w:lvl>
    <w:lvl w:ilvl="6" w:tplc="040E0001">
      <w:start w:val="1"/>
      <w:numFmt w:val="bullet"/>
      <w:lvlText w:val=""/>
      <w:lvlJc w:val="left"/>
      <w:pPr>
        <w:ind w:left="5385" w:hanging="360"/>
      </w:pPr>
      <w:rPr>
        <w:rFonts w:ascii="Symbol" w:hAnsi="Symbol" w:hint="default"/>
      </w:rPr>
    </w:lvl>
    <w:lvl w:ilvl="7" w:tplc="040E0003">
      <w:start w:val="1"/>
      <w:numFmt w:val="bullet"/>
      <w:lvlText w:val="o"/>
      <w:lvlJc w:val="left"/>
      <w:pPr>
        <w:ind w:left="6105" w:hanging="360"/>
      </w:pPr>
      <w:rPr>
        <w:rFonts w:ascii="Courier New" w:hAnsi="Courier New" w:cs="Courier New" w:hint="default"/>
      </w:rPr>
    </w:lvl>
    <w:lvl w:ilvl="8" w:tplc="040E0005">
      <w:start w:val="1"/>
      <w:numFmt w:val="bullet"/>
      <w:lvlText w:val=""/>
      <w:lvlJc w:val="left"/>
      <w:pPr>
        <w:ind w:left="6825" w:hanging="360"/>
      </w:pPr>
      <w:rPr>
        <w:rFonts w:ascii="Wingdings" w:hAnsi="Wingdings" w:hint="default"/>
      </w:rPr>
    </w:lvl>
  </w:abstractNum>
  <w:abstractNum w:abstractNumId="5"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DB4F50"/>
    <w:multiLevelType w:val="hybridMultilevel"/>
    <w:tmpl w:val="A566C8BE"/>
    <w:lvl w:ilvl="0" w:tplc="B19C19A8">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578984">
    <w:abstractNumId w:val="7"/>
  </w:num>
  <w:num w:numId="2" w16cid:durableId="1418744209">
    <w:abstractNumId w:val="9"/>
  </w:num>
  <w:num w:numId="3" w16cid:durableId="1959025545">
    <w:abstractNumId w:val="6"/>
  </w:num>
  <w:num w:numId="4" w16cid:durableId="1054279164">
    <w:abstractNumId w:val="2"/>
  </w:num>
  <w:num w:numId="5" w16cid:durableId="1497964285">
    <w:abstractNumId w:val="0"/>
  </w:num>
  <w:num w:numId="6" w16cid:durableId="913466990">
    <w:abstractNumId w:val="5"/>
  </w:num>
  <w:num w:numId="7" w16cid:durableId="661271933">
    <w:abstractNumId w:val="8"/>
  </w:num>
  <w:num w:numId="8" w16cid:durableId="1994942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3024045">
    <w:abstractNumId w:val="4"/>
  </w:num>
  <w:num w:numId="10" w16cid:durableId="2022536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1C7"/>
    <w:rsid w:val="00002B07"/>
    <w:rsid w:val="00007947"/>
    <w:rsid w:val="00021699"/>
    <w:rsid w:val="0002539B"/>
    <w:rsid w:val="000261E6"/>
    <w:rsid w:val="00026344"/>
    <w:rsid w:val="00027236"/>
    <w:rsid w:val="00027AB5"/>
    <w:rsid w:val="00042806"/>
    <w:rsid w:val="00052419"/>
    <w:rsid w:val="00057AC4"/>
    <w:rsid w:val="0006776A"/>
    <w:rsid w:val="0007052B"/>
    <w:rsid w:val="00080BFC"/>
    <w:rsid w:val="00080D32"/>
    <w:rsid w:val="00091152"/>
    <w:rsid w:val="00092E2E"/>
    <w:rsid w:val="000A3004"/>
    <w:rsid w:val="000A5969"/>
    <w:rsid w:val="000B5CCD"/>
    <w:rsid w:val="000B61C7"/>
    <w:rsid w:val="000B65AB"/>
    <w:rsid w:val="000C1DE4"/>
    <w:rsid w:val="000C5F16"/>
    <w:rsid w:val="000C73D0"/>
    <w:rsid w:val="000D6CA2"/>
    <w:rsid w:val="000E3E7C"/>
    <w:rsid w:val="000F0098"/>
    <w:rsid w:val="001054EA"/>
    <w:rsid w:val="00113645"/>
    <w:rsid w:val="0011532C"/>
    <w:rsid w:val="00116A48"/>
    <w:rsid w:val="00154AA0"/>
    <w:rsid w:val="00154C4B"/>
    <w:rsid w:val="0015531C"/>
    <w:rsid w:val="00163EF9"/>
    <w:rsid w:val="001642D6"/>
    <w:rsid w:val="001701CE"/>
    <w:rsid w:val="00176DB2"/>
    <w:rsid w:val="00181F3B"/>
    <w:rsid w:val="00184E23"/>
    <w:rsid w:val="00190E44"/>
    <w:rsid w:val="001A12D3"/>
    <w:rsid w:val="001A3FF2"/>
    <w:rsid w:val="001A5B78"/>
    <w:rsid w:val="001B00F4"/>
    <w:rsid w:val="001B49F7"/>
    <w:rsid w:val="001C75E1"/>
    <w:rsid w:val="0020769F"/>
    <w:rsid w:val="00232728"/>
    <w:rsid w:val="00235DB3"/>
    <w:rsid w:val="002415DC"/>
    <w:rsid w:val="00241E61"/>
    <w:rsid w:val="0024682C"/>
    <w:rsid w:val="00246BB3"/>
    <w:rsid w:val="00252BEE"/>
    <w:rsid w:val="00295717"/>
    <w:rsid w:val="00295AC6"/>
    <w:rsid w:val="002A73E8"/>
    <w:rsid w:val="002E2549"/>
    <w:rsid w:val="002F080C"/>
    <w:rsid w:val="002F3239"/>
    <w:rsid w:val="002F6B19"/>
    <w:rsid w:val="00300C98"/>
    <w:rsid w:val="003052E9"/>
    <w:rsid w:val="00306B27"/>
    <w:rsid w:val="00306E10"/>
    <w:rsid w:val="00314084"/>
    <w:rsid w:val="003156DF"/>
    <w:rsid w:val="003165E9"/>
    <w:rsid w:val="00317725"/>
    <w:rsid w:val="0033037F"/>
    <w:rsid w:val="003310B4"/>
    <w:rsid w:val="003466A4"/>
    <w:rsid w:val="003543E5"/>
    <w:rsid w:val="00360D17"/>
    <w:rsid w:val="00365FCB"/>
    <w:rsid w:val="003665D9"/>
    <w:rsid w:val="00373D04"/>
    <w:rsid w:val="00375A2D"/>
    <w:rsid w:val="00377A13"/>
    <w:rsid w:val="00392D89"/>
    <w:rsid w:val="003A3887"/>
    <w:rsid w:val="003C73B3"/>
    <w:rsid w:val="003E01D2"/>
    <w:rsid w:val="003E53B0"/>
    <w:rsid w:val="003E678A"/>
    <w:rsid w:val="00404B6C"/>
    <w:rsid w:val="0041079A"/>
    <w:rsid w:val="00442B13"/>
    <w:rsid w:val="00445B80"/>
    <w:rsid w:val="0044637E"/>
    <w:rsid w:val="004524C3"/>
    <w:rsid w:val="00460181"/>
    <w:rsid w:val="00466C4B"/>
    <w:rsid w:val="00472F0E"/>
    <w:rsid w:val="004757E6"/>
    <w:rsid w:val="00496B11"/>
    <w:rsid w:val="004A08F1"/>
    <w:rsid w:val="004A630F"/>
    <w:rsid w:val="004A7156"/>
    <w:rsid w:val="004E154D"/>
    <w:rsid w:val="00501507"/>
    <w:rsid w:val="005121C7"/>
    <w:rsid w:val="0052092A"/>
    <w:rsid w:val="005228E9"/>
    <w:rsid w:val="00523117"/>
    <w:rsid w:val="00530972"/>
    <w:rsid w:val="00542969"/>
    <w:rsid w:val="00544465"/>
    <w:rsid w:val="00547C1F"/>
    <w:rsid w:val="00554E1E"/>
    <w:rsid w:val="00556DB5"/>
    <w:rsid w:val="00561F03"/>
    <w:rsid w:val="005678A7"/>
    <w:rsid w:val="00571F07"/>
    <w:rsid w:val="00576118"/>
    <w:rsid w:val="00576283"/>
    <w:rsid w:val="005945F4"/>
    <w:rsid w:val="00596353"/>
    <w:rsid w:val="005A6FEB"/>
    <w:rsid w:val="005E5761"/>
    <w:rsid w:val="005E60DB"/>
    <w:rsid w:val="005F0179"/>
    <w:rsid w:val="005F39DE"/>
    <w:rsid w:val="0061199E"/>
    <w:rsid w:val="0061531F"/>
    <w:rsid w:val="00651B18"/>
    <w:rsid w:val="00654660"/>
    <w:rsid w:val="006601C7"/>
    <w:rsid w:val="00660B14"/>
    <w:rsid w:val="006642DD"/>
    <w:rsid w:val="00677DB8"/>
    <w:rsid w:val="00687187"/>
    <w:rsid w:val="00691433"/>
    <w:rsid w:val="00692062"/>
    <w:rsid w:val="00695E49"/>
    <w:rsid w:val="006962A2"/>
    <w:rsid w:val="006A778F"/>
    <w:rsid w:val="006B1F30"/>
    <w:rsid w:val="006B206B"/>
    <w:rsid w:val="006D3200"/>
    <w:rsid w:val="006D53CA"/>
    <w:rsid w:val="006D5CED"/>
    <w:rsid w:val="006E08D0"/>
    <w:rsid w:val="006F6E9C"/>
    <w:rsid w:val="00703552"/>
    <w:rsid w:val="00721AD8"/>
    <w:rsid w:val="00737AD7"/>
    <w:rsid w:val="0074785D"/>
    <w:rsid w:val="007513AC"/>
    <w:rsid w:val="007646E4"/>
    <w:rsid w:val="00773354"/>
    <w:rsid w:val="00777E20"/>
    <w:rsid w:val="00781408"/>
    <w:rsid w:val="00781682"/>
    <w:rsid w:val="007A649D"/>
    <w:rsid w:val="007B5B63"/>
    <w:rsid w:val="007B7FD3"/>
    <w:rsid w:val="007C03F5"/>
    <w:rsid w:val="007C322D"/>
    <w:rsid w:val="007C3A0C"/>
    <w:rsid w:val="007F3ADF"/>
    <w:rsid w:val="007F7829"/>
    <w:rsid w:val="008033AF"/>
    <w:rsid w:val="00804396"/>
    <w:rsid w:val="00805BAC"/>
    <w:rsid w:val="008141A9"/>
    <w:rsid w:val="00821B3F"/>
    <w:rsid w:val="0083027B"/>
    <w:rsid w:val="00831E01"/>
    <w:rsid w:val="008431F7"/>
    <w:rsid w:val="0085653B"/>
    <w:rsid w:val="00863811"/>
    <w:rsid w:val="00863EF5"/>
    <w:rsid w:val="00866052"/>
    <w:rsid w:val="00871BB9"/>
    <w:rsid w:val="00893E52"/>
    <w:rsid w:val="008A0074"/>
    <w:rsid w:val="008A4FA1"/>
    <w:rsid w:val="008D649F"/>
    <w:rsid w:val="008E0B1E"/>
    <w:rsid w:val="008E5FA0"/>
    <w:rsid w:val="008F5060"/>
    <w:rsid w:val="00911DC6"/>
    <w:rsid w:val="00920268"/>
    <w:rsid w:val="0097405E"/>
    <w:rsid w:val="00987331"/>
    <w:rsid w:val="0099704F"/>
    <w:rsid w:val="009A7222"/>
    <w:rsid w:val="009B3D05"/>
    <w:rsid w:val="009E7699"/>
    <w:rsid w:val="00A053A2"/>
    <w:rsid w:val="00A05C4B"/>
    <w:rsid w:val="00A05EC3"/>
    <w:rsid w:val="00A06DD8"/>
    <w:rsid w:val="00A36E08"/>
    <w:rsid w:val="00A40D73"/>
    <w:rsid w:val="00A42B05"/>
    <w:rsid w:val="00A66590"/>
    <w:rsid w:val="00A715CD"/>
    <w:rsid w:val="00A721F0"/>
    <w:rsid w:val="00A805F0"/>
    <w:rsid w:val="00A81E36"/>
    <w:rsid w:val="00A84114"/>
    <w:rsid w:val="00A878EC"/>
    <w:rsid w:val="00A87E1A"/>
    <w:rsid w:val="00A912B4"/>
    <w:rsid w:val="00A959C3"/>
    <w:rsid w:val="00A96740"/>
    <w:rsid w:val="00AB31FB"/>
    <w:rsid w:val="00AB527C"/>
    <w:rsid w:val="00AC2433"/>
    <w:rsid w:val="00B139AA"/>
    <w:rsid w:val="00B32932"/>
    <w:rsid w:val="00B44A1C"/>
    <w:rsid w:val="00B51805"/>
    <w:rsid w:val="00B604B0"/>
    <w:rsid w:val="00B80D2F"/>
    <w:rsid w:val="00B90D75"/>
    <w:rsid w:val="00B92FAA"/>
    <w:rsid w:val="00BA588F"/>
    <w:rsid w:val="00BD3EB2"/>
    <w:rsid w:val="00BD6024"/>
    <w:rsid w:val="00BD79B3"/>
    <w:rsid w:val="00BE2604"/>
    <w:rsid w:val="00BF0370"/>
    <w:rsid w:val="00BF195F"/>
    <w:rsid w:val="00C051A4"/>
    <w:rsid w:val="00C157C6"/>
    <w:rsid w:val="00C1644B"/>
    <w:rsid w:val="00C2033A"/>
    <w:rsid w:val="00C53F40"/>
    <w:rsid w:val="00C57F2E"/>
    <w:rsid w:val="00C60C60"/>
    <w:rsid w:val="00C60E16"/>
    <w:rsid w:val="00C641E2"/>
    <w:rsid w:val="00C65923"/>
    <w:rsid w:val="00C86720"/>
    <w:rsid w:val="00C87B07"/>
    <w:rsid w:val="00C93A53"/>
    <w:rsid w:val="00C945DB"/>
    <w:rsid w:val="00CA30D1"/>
    <w:rsid w:val="00CA4245"/>
    <w:rsid w:val="00CA49DA"/>
    <w:rsid w:val="00CB4E47"/>
    <w:rsid w:val="00CB4FFD"/>
    <w:rsid w:val="00CB6128"/>
    <w:rsid w:val="00CC036D"/>
    <w:rsid w:val="00CD2377"/>
    <w:rsid w:val="00CE486C"/>
    <w:rsid w:val="00CF0293"/>
    <w:rsid w:val="00CF134A"/>
    <w:rsid w:val="00D02129"/>
    <w:rsid w:val="00D0486B"/>
    <w:rsid w:val="00D1605B"/>
    <w:rsid w:val="00D204EF"/>
    <w:rsid w:val="00D67710"/>
    <w:rsid w:val="00D67B23"/>
    <w:rsid w:val="00D7532E"/>
    <w:rsid w:val="00DA6333"/>
    <w:rsid w:val="00DB466C"/>
    <w:rsid w:val="00DB4B24"/>
    <w:rsid w:val="00DB74F3"/>
    <w:rsid w:val="00DC2425"/>
    <w:rsid w:val="00DC3CBA"/>
    <w:rsid w:val="00DC5C5D"/>
    <w:rsid w:val="00DD169A"/>
    <w:rsid w:val="00DD3E14"/>
    <w:rsid w:val="00DD41CC"/>
    <w:rsid w:val="00DE3FF0"/>
    <w:rsid w:val="00DE6CC6"/>
    <w:rsid w:val="00DF2F9B"/>
    <w:rsid w:val="00DF72E2"/>
    <w:rsid w:val="00E03018"/>
    <w:rsid w:val="00E12902"/>
    <w:rsid w:val="00E15F3B"/>
    <w:rsid w:val="00E30037"/>
    <w:rsid w:val="00E359FA"/>
    <w:rsid w:val="00E55CCB"/>
    <w:rsid w:val="00E6664A"/>
    <w:rsid w:val="00E673D3"/>
    <w:rsid w:val="00E75388"/>
    <w:rsid w:val="00E85624"/>
    <w:rsid w:val="00E92271"/>
    <w:rsid w:val="00E96977"/>
    <w:rsid w:val="00EA3B68"/>
    <w:rsid w:val="00EA5AB1"/>
    <w:rsid w:val="00EB2B0C"/>
    <w:rsid w:val="00ED5658"/>
    <w:rsid w:val="00F06DDA"/>
    <w:rsid w:val="00F07D42"/>
    <w:rsid w:val="00F16500"/>
    <w:rsid w:val="00F17D71"/>
    <w:rsid w:val="00F3479C"/>
    <w:rsid w:val="00F6134C"/>
    <w:rsid w:val="00FA1AEB"/>
    <w:rsid w:val="00FA5F3E"/>
    <w:rsid w:val="00FB2D76"/>
    <w:rsid w:val="00FD3352"/>
    <w:rsid w:val="00FD6D94"/>
    <w:rsid w:val="00FD7C3B"/>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601C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Feloldatlanmegemlts1">
    <w:name w:val="Feloldatlan megemlítés1"/>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 w:type="paragraph" w:customStyle="1" w:styleId="uj">
    <w:name w:val="uj"/>
    <w:basedOn w:val="Norml"/>
    <w:rsid w:val="007F782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highlighted">
    <w:name w:val="highlighted"/>
    <w:basedOn w:val="Bekezdsalapbettpusa"/>
    <w:rsid w:val="007F7829"/>
  </w:style>
  <w:style w:type="paragraph" w:customStyle="1" w:styleId="Standard">
    <w:name w:val="Standard"/>
    <w:rsid w:val="0033037F"/>
    <w:pPr>
      <w:suppressAutoHyphens/>
      <w:autoSpaceDN w:val="0"/>
      <w:spacing w:after="0" w:line="240" w:lineRule="auto"/>
    </w:pPr>
    <w:rPr>
      <w:rFonts w:ascii="Times New Roman" w:eastAsia="Times New Roman" w:hAnsi="Times New Roman" w:cs="Times New Roman"/>
      <w:bCs/>
      <w:kern w:val="3"/>
      <w:sz w:val="26"/>
      <w:szCs w:val="24"/>
      <w:lang w:eastAsia="zh-CN"/>
      <w14:ligatures w14:val="none"/>
    </w:rPr>
  </w:style>
  <w:style w:type="paragraph" w:styleId="Nincstrkz">
    <w:name w:val="No Spacing"/>
    <w:uiPriority w:val="1"/>
    <w:qFormat/>
    <w:rsid w:val="0033037F"/>
    <w:pPr>
      <w:spacing w:after="0" w:line="240" w:lineRule="auto"/>
    </w:pPr>
    <w:rPr>
      <w:rFonts w:eastAsiaTheme="minorEastAsia"/>
      <w:kern w:val="0"/>
      <w:lang w:eastAsia="hu-HU"/>
      <w14:ligatures w14:val="none"/>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locked/>
    <w:rsid w:val="0033037F"/>
    <w:rPr>
      <w:kern w:val="0"/>
      <w14:ligatures w14:val="none"/>
    </w:rPr>
  </w:style>
  <w:style w:type="table" w:styleId="Rcsostblzat">
    <w:name w:val="Table Grid"/>
    <w:basedOn w:val="Normltblzat"/>
    <w:uiPriority w:val="59"/>
    <w:rsid w:val="0033037F"/>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87408">
      <w:bodyDiv w:val="1"/>
      <w:marLeft w:val="0"/>
      <w:marRight w:val="0"/>
      <w:marTop w:val="0"/>
      <w:marBottom w:val="0"/>
      <w:divBdr>
        <w:top w:val="none" w:sz="0" w:space="0" w:color="auto"/>
        <w:left w:val="none" w:sz="0" w:space="0" w:color="auto"/>
        <w:bottom w:val="none" w:sz="0" w:space="0" w:color="auto"/>
        <w:right w:val="none" w:sz="0" w:space="0" w:color="auto"/>
      </w:divBdr>
    </w:div>
    <w:div w:id="288052509">
      <w:bodyDiv w:val="1"/>
      <w:marLeft w:val="0"/>
      <w:marRight w:val="0"/>
      <w:marTop w:val="0"/>
      <w:marBottom w:val="0"/>
      <w:divBdr>
        <w:top w:val="none" w:sz="0" w:space="0" w:color="auto"/>
        <w:left w:val="none" w:sz="0" w:space="0" w:color="auto"/>
        <w:bottom w:val="none" w:sz="0" w:space="0" w:color="auto"/>
        <w:right w:val="none" w:sz="0" w:space="0" w:color="auto"/>
      </w:divBdr>
    </w:div>
    <w:div w:id="462967540">
      <w:bodyDiv w:val="1"/>
      <w:marLeft w:val="0"/>
      <w:marRight w:val="0"/>
      <w:marTop w:val="0"/>
      <w:marBottom w:val="0"/>
      <w:divBdr>
        <w:top w:val="none" w:sz="0" w:space="0" w:color="auto"/>
        <w:left w:val="none" w:sz="0" w:space="0" w:color="auto"/>
        <w:bottom w:val="none" w:sz="0" w:space="0" w:color="auto"/>
        <w:right w:val="none" w:sz="0" w:space="0" w:color="auto"/>
      </w:divBdr>
    </w:div>
    <w:div w:id="509372480">
      <w:bodyDiv w:val="1"/>
      <w:marLeft w:val="0"/>
      <w:marRight w:val="0"/>
      <w:marTop w:val="0"/>
      <w:marBottom w:val="0"/>
      <w:divBdr>
        <w:top w:val="none" w:sz="0" w:space="0" w:color="auto"/>
        <w:left w:val="none" w:sz="0" w:space="0" w:color="auto"/>
        <w:bottom w:val="none" w:sz="0" w:space="0" w:color="auto"/>
        <w:right w:val="none" w:sz="0" w:space="0" w:color="auto"/>
      </w:divBdr>
    </w:div>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250770668">
      <w:bodyDiv w:val="1"/>
      <w:marLeft w:val="0"/>
      <w:marRight w:val="0"/>
      <w:marTop w:val="0"/>
      <w:marBottom w:val="0"/>
      <w:divBdr>
        <w:top w:val="none" w:sz="0" w:space="0" w:color="auto"/>
        <w:left w:val="none" w:sz="0" w:space="0" w:color="auto"/>
        <w:bottom w:val="none" w:sz="0" w:space="0" w:color="auto"/>
        <w:right w:val="none" w:sz="0" w:space="0" w:color="auto"/>
      </w:divBdr>
    </w:div>
    <w:div w:id="1386367824">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1671</Words>
  <Characters>11530</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Zsolt Nagy</cp:lastModifiedBy>
  <cp:revision>2</cp:revision>
  <dcterms:created xsi:type="dcterms:W3CDTF">2026-02-18T16:18:00Z</dcterms:created>
  <dcterms:modified xsi:type="dcterms:W3CDTF">2026-02-18T16:18:00Z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